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FE" w:rsidRPr="00CD7E2B" w:rsidRDefault="00BE6F8A" w:rsidP="006A4A17">
      <w:pPr>
        <w:spacing w:line="280" w:lineRule="exact"/>
      </w:pPr>
      <w:bookmarkStart w:id="0" w:name="_GoBack"/>
      <w:bookmarkEnd w:id="0"/>
      <w:r>
        <w:t>20</w:t>
      </w:r>
      <w:r w:rsidR="002B3BFE" w:rsidRPr="00CD7E2B">
        <w:t>.09.11:</w:t>
      </w:r>
    </w:p>
    <w:p w:rsidR="002B3BFE" w:rsidRPr="00CD7E2B" w:rsidRDefault="002B3BFE" w:rsidP="006A4A17">
      <w:pPr>
        <w:spacing w:line="280" w:lineRule="exact"/>
      </w:pPr>
    </w:p>
    <w:p w:rsidR="002B3BFE" w:rsidRDefault="002B3BFE" w:rsidP="006A4A17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Samarbejde om - og retningslinjer for ”netneutralitet”. </w:t>
      </w:r>
    </w:p>
    <w:p w:rsidR="002B3BFE" w:rsidRDefault="002B3BFE" w:rsidP="006A4A17">
      <w:pPr>
        <w:spacing w:line="280" w:lineRule="exact"/>
      </w:pPr>
    </w:p>
    <w:p w:rsidR="002B3BFE" w:rsidRPr="00196DC7" w:rsidRDefault="002B3BFE" w:rsidP="006A4A17">
      <w:pPr>
        <w:spacing w:line="280" w:lineRule="exact"/>
        <w:rPr>
          <w:b/>
        </w:rPr>
      </w:pPr>
      <w:r w:rsidRPr="00196DC7">
        <w:rPr>
          <w:b/>
        </w:rPr>
        <w:t>Baggrund</w:t>
      </w:r>
    </w:p>
    <w:p w:rsidR="002B3BFE" w:rsidRDefault="002B3BFE" w:rsidP="006A4A17">
      <w:pPr>
        <w:spacing w:line="280" w:lineRule="exact"/>
      </w:pPr>
    </w:p>
    <w:p w:rsidR="002B3BFE" w:rsidRDefault="002B3BFE" w:rsidP="006A4A17">
      <w:pPr>
        <w:spacing w:line="280" w:lineRule="exact"/>
      </w:pPr>
      <w:r>
        <w:t>Netneutralitet må i stigende grad forventes at spille en rolle i udviklingen af et inte</w:t>
      </w:r>
      <w:r>
        <w:t>r</w:t>
      </w:r>
      <w:r>
        <w:t>netbaseret informationssamfund, specielt i overvejelserne om, hvordan internettet fremadrettet skal udvikles på en måde, der er bæredygtig såvel økonomisk som mht. åbenhed og mulighed for innovation.</w:t>
      </w:r>
    </w:p>
    <w:p w:rsidR="002B3BFE" w:rsidRDefault="002B3BFE" w:rsidP="00E92BCB">
      <w:pPr>
        <w:spacing w:line="280" w:lineRule="exact"/>
      </w:pPr>
    </w:p>
    <w:p w:rsidR="002B3BFE" w:rsidRDefault="002B3BFE" w:rsidP="00E92BCB">
      <w:pPr>
        <w:spacing w:line="280" w:lineRule="exact"/>
      </w:pPr>
      <w:r>
        <w:t xml:space="preserve">I 2009 blev EU's teledirektiver revideret, og der er i de reviderede direktiver indføjet bestemmelser, der skal sikre netneutralitet. Bestemmelser der, efterfølgende i 2011, er indarbejdet den nye danske telelov i form af beføjelser til IT- og Telestyrelsen. </w:t>
      </w:r>
    </w:p>
    <w:p w:rsidR="002B3BFE" w:rsidRDefault="002B3BFE" w:rsidP="00E92BCB">
      <w:pPr>
        <w:spacing w:line="280" w:lineRule="exact"/>
      </w:pPr>
    </w:p>
    <w:p w:rsidR="002B3BFE" w:rsidRDefault="002B3BFE" w:rsidP="00E92BCB">
      <w:pPr>
        <w:spacing w:line="280" w:lineRule="exact"/>
      </w:pPr>
      <w:r>
        <w:t>Ligeledes er der i en række lande og af EU Kommissionen afholdt høringer om netne</w:t>
      </w:r>
      <w:r>
        <w:t>u</w:t>
      </w:r>
      <w:r>
        <w:t>tralitet for at klargøre, hvad begrebet omfatter og om udbuddet af adgang til interne</w:t>
      </w:r>
      <w:r>
        <w:t>t</w:t>
      </w:r>
      <w:r>
        <w:t xml:space="preserve">tet rejser problemer relateret til netneutralitet.  </w:t>
      </w:r>
    </w:p>
    <w:p w:rsidR="002B3BFE" w:rsidRDefault="002B3BFE" w:rsidP="00E92BCB">
      <w:pPr>
        <w:spacing w:line="280" w:lineRule="exact"/>
      </w:pPr>
    </w:p>
    <w:p w:rsidR="002B3BFE" w:rsidRDefault="002B3BFE" w:rsidP="006A4A17">
      <w:pPr>
        <w:spacing w:line="280" w:lineRule="exact"/>
      </w:pPr>
      <w:r>
        <w:t xml:space="preserve">På den baggrund og som videreførelse af drøftelser, der fulgte IT- og Telestyrelsens konference i 2008 om netneutralitet, er der identificeret behov for sammen med IT- og Telestyrelsen at etablere et </w:t>
      </w:r>
      <w:r w:rsidRPr="00074D24">
        <w:rPr>
          <w:u w:val="single"/>
        </w:rPr>
        <w:t>'Forum for netneutralitet'</w:t>
      </w:r>
      <w:r>
        <w:t>, der kan fastlægge principper for sikring af netneutralitet, og som kan håndtere eventuelle netneutralitets spørgsmål.</w:t>
      </w:r>
    </w:p>
    <w:p w:rsidR="002B3BFE" w:rsidRDefault="002B3BFE" w:rsidP="006A4A17">
      <w:pPr>
        <w:spacing w:line="280" w:lineRule="exact"/>
      </w:pPr>
    </w:p>
    <w:p w:rsidR="002B3BFE" w:rsidRDefault="002B3BFE" w:rsidP="004B502E">
      <w:pPr>
        <w:shd w:val="clear" w:color="auto" w:fill="FFFFFF"/>
        <w:ind w:left="357" w:right="62" w:hanging="357"/>
      </w:pPr>
      <w:r>
        <w:rPr>
          <w:b/>
        </w:rPr>
        <w:t xml:space="preserve">Principper og sikring af netneutralitet </w:t>
      </w:r>
    </w:p>
    <w:p w:rsidR="002B3BFE" w:rsidRDefault="002B3BFE" w:rsidP="003A3657">
      <w:pPr>
        <w:spacing w:line="280" w:lineRule="exact"/>
      </w:pPr>
      <w:r>
        <w:t xml:space="preserve">Netneutralitet er i dette papir defineret i form af principper i overensstemmelse med retningslinjer som bl.a. ligger i de relevante bestemmelser i EU direktiverne og i den danske lovgivning. </w:t>
      </w:r>
    </w:p>
    <w:p w:rsidR="002B3BFE" w:rsidRDefault="002B3BFE" w:rsidP="003A3657">
      <w:pPr>
        <w:spacing w:line="280" w:lineRule="exact"/>
      </w:pPr>
    </w:p>
    <w:p w:rsidR="002B3BFE" w:rsidRDefault="002B3BFE" w:rsidP="003A3657">
      <w:pPr>
        <w:spacing w:line="280" w:lineRule="exact"/>
      </w:pPr>
      <w:r>
        <w:t xml:space="preserve">Principperne for netneutralitet på det </w:t>
      </w:r>
      <w:r w:rsidRPr="003A3657">
        <w:t xml:space="preserve">åbne </w:t>
      </w:r>
      <w:r>
        <w:t>I</w:t>
      </w:r>
      <w:r w:rsidRPr="003A3657">
        <w:t>nternet</w:t>
      </w:r>
      <w:r>
        <w:rPr>
          <w:rStyle w:val="Fodnotehenvisning"/>
        </w:rPr>
        <w:footnoteReference w:id="1"/>
      </w:r>
      <w:r>
        <w:t xml:space="preserve"> er følgende: </w:t>
      </w:r>
    </w:p>
    <w:p w:rsidR="002B3BFE" w:rsidRDefault="002B3BFE" w:rsidP="003A3657">
      <w:pPr>
        <w:spacing w:line="280" w:lineRule="exact"/>
      </w:pPr>
    </w:p>
    <w:p w:rsidR="002B3BFE" w:rsidRDefault="002B3BFE" w:rsidP="003A3657">
      <w:pPr>
        <w:pStyle w:val="Listeafsnit"/>
        <w:numPr>
          <w:ilvl w:val="0"/>
          <w:numId w:val="18"/>
        </w:numPr>
        <w:spacing w:line="280" w:lineRule="exact"/>
      </w:pPr>
      <w:r>
        <w:t xml:space="preserve">Brugerne har ret til en </w:t>
      </w:r>
      <w:r w:rsidRPr="007A5664">
        <w:t>internet</w:t>
      </w:r>
      <w:r>
        <w:t xml:space="preserve">adgang med deklareret </w:t>
      </w:r>
      <w:r w:rsidRPr="007A5664">
        <w:t>kapa</w:t>
      </w:r>
      <w:r>
        <w:t>c</w:t>
      </w:r>
      <w:r w:rsidRPr="007A5664">
        <w:t>itet og kvalitet</w:t>
      </w:r>
      <w:r>
        <w:t xml:space="preserve"> </w:t>
      </w:r>
    </w:p>
    <w:p w:rsidR="002B3BFE" w:rsidRDefault="002B3BFE" w:rsidP="003A3657">
      <w:pPr>
        <w:pStyle w:val="Listeafsnit"/>
        <w:numPr>
          <w:ilvl w:val="0"/>
          <w:numId w:val="18"/>
        </w:numPr>
        <w:spacing w:line="280" w:lineRule="exact"/>
      </w:pPr>
      <w:r>
        <w:t>Brugerne har ret til at tilgå lovligt indhold og at anvende applikationer og tjenester efter eget valg</w:t>
      </w:r>
      <w:r w:rsidRPr="007A5664">
        <w:t xml:space="preserve"> </w:t>
      </w:r>
      <w:r>
        <w:t xml:space="preserve">forudsat det ikke påvirker netintegritet  </w:t>
      </w:r>
    </w:p>
    <w:p w:rsidR="002B3BFE" w:rsidRDefault="002B3BFE" w:rsidP="003A3657">
      <w:pPr>
        <w:pStyle w:val="Listeafsnit"/>
        <w:numPr>
          <w:ilvl w:val="0"/>
          <w:numId w:val="18"/>
        </w:numPr>
        <w:spacing w:line="280" w:lineRule="exact"/>
      </w:pPr>
      <w:r>
        <w:t>Brugeren skal have adgang til gennemsigtighed, dvs. brugerne skal kunne få in</w:t>
      </w:r>
      <w:r>
        <w:t>d</w:t>
      </w:r>
      <w:r>
        <w:t>sigt i, hvilke relevante trafikstyrings principper en internetudbyder anvender</w:t>
      </w:r>
    </w:p>
    <w:p w:rsidR="002B3BFE" w:rsidRPr="007A5664" w:rsidRDefault="002B3BFE" w:rsidP="003A3657">
      <w:pPr>
        <w:pStyle w:val="Listeafsnit"/>
        <w:numPr>
          <w:ilvl w:val="0"/>
          <w:numId w:val="18"/>
        </w:numPr>
        <w:spacing w:line="280" w:lineRule="exact"/>
      </w:pPr>
      <w:r>
        <w:t>Internetudbyderne skal ikke diskriminere i forhold til bestemte</w:t>
      </w:r>
      <w:r w:rsidR="00BE6F8A">
        <w:t xml:space="preserve"> udbydere af </w:t>
      </w:r>
      <w:r>
        <w:t>tjen</w:t>
      </w:r>
      <w:r>
        <w:t>e</w:t>
      </w:r>
      <w:r>
        <w:t xml:space="preserve">ster, indhold eller applikationer  </w:t>
      </w:r>
    </w:p>
    <w:p w:rsidR="002B3BFE" w:rsidRDefault="002B3BFE" w:rsidP="00002785">
      <w:pPr>
        <w:spacing w:line="280" w:lineRule="exact"/>
      </w:pPr>
    </w:p>
    <w:p w:rsidR="002B3BFE" w:rsidRDefault="002B3BFE" w:rsidP="00002785">
      <w:pPr>
        <w:spacing w:line="280" w:lineRule="exact"/>
      </w:pPr>
      <w:r>
        <w:t>Disse principper omfatter således det 'åbne Internet' baseret på 'best effort' fre</w:t>
      </w:r>
      <w:r>
        <w:t>m</w:t>
      </w:r>
      <w:r>
        <w:t xml:space="preserve">kommelighed, men ikke hvad der kan beskrives som dedikerede tjenester svarende til, hvad der i EU-høringen og andre steder kaldes </w:t>
      </w:r>
      <w:r w:rsidRPr="00002785">
        <w:rPr>
          <w:i/>
        </w:rPr>
        <w:t>'managed networks</w:t>
      </w:r>
      <w:r>
        <w:t xml:space="preserve">' eller </w:t>
      </w:r>
      <w:r w:rsidRPr="00002785">
        <w:rPr>
          <w:i/>
        </w:rPr>
        <w:t>'specialised services</w:t>
      </w:r>
      <w:r>
        <w:rPr>
          <w:i/>
        </w:rPr>
        <w:t>'</w:t>
      </w:r>
      <w:r>
        <w:rPr>
          <w:rStyle w:val="Fodnotehenvisning"/>
        </w:rPr>
        <w:footnoteReference w:id="2"/>
      </w:r>
      <w:r>
        <w:t>'.</w:t>
      </w:r>
    </w:p>
    <w:p w:rsidR="002B3BFE" w:rsidRPr="00664459" w:rsidRDefault="002B3BFE" w:rsidP="00002785">
      <w:pPr>
        <w:spacing w:line="280" w:lineRule="exact"/>
      </w:pPr>
    </w:p>
    <w:p w:rsidR="002B3BFE" w:rsidRDefault="002B3BFE" w:rsidP="003A3657">
      <w:pPr>
        <w:spacing w:line="280" w:lineRule="exact"/>
      </w:pPr>
      <w:r>
        <w:t>Med udgangspunkt i, at:</w:t>
      </w:r>
    </w:p>
    <w:p w:rsidR="002B3BFE" w:rsidRPr="00AC2D3C" w:rsidRDefault="002B3BFE" w:rsidP="003A3657">
      <w:pPr>
        <w:spacing w:line="280" w:lineRule="exact"/>
        <w:rPr>
          <w:sz w:val="16"/>
          <w:szCs w:val="16"/>
        </w:rPr>
      </w:pPr>
    </w:p>
    <w:p w:rsidR="002B3BFE" w:rsidRDefault="002B3BFE" w:rsidP="003A3657">
      <w:pPr>
        <w:numPr>
          <w:ilvl w:val="0"/>
          <w:numId w:val="2"/>
        </w:numPr>
        <w:spacing w:line="280" w:lineRule="exact"/>
      </w:pPr>
      <w:r>
        <w:t>Myndighederne har med revisionen af Teleloven og implementeringen af EU Dire</w:t>
      </w:r>
      <w:r>
        <w:t>k</w:t>
      </w:r>
      <w:r>
        <w:t>tivernes bestemmelser vedrørerende netneutralitet fået et redskab til om forn</w:t>
      </w:r>
      <w:r>
        <w:t>ø</w:t>
      </w:r>
      <w:r>
        <w:t>dent at gribe ind, hvis der konstateres vedvarende og alvorlige problemer med netneutralitet</w:t>
      </w:r>
    </w:p>
    <w:p w:rsidR="002B3BFE" w:rsidRDefault="002B3BFE" w:rsidP="003A3657">
      <w:pPr>
        <w:numPr>
          <w:ilvl w:val="0"/>
          <w:numId w:val="2"/>
        </w:numPr>
        <w:spacing w:line="280" w:lineRule="exact"/>
      </w:pPr>
      <w:r>
        <w:t>Der ikke er fundet tegn på konkrete hændelser i det danske marked, som krænker netneutralitet, og der således ikke er konstateret behov for aktiv indgriben fra myndighedsside i relation til sikring af netneutralitet</w:t>
      </w:r>
    </w:p>
    <w:p w:rsidR="002B3BFE" w:rsidRDefault="002B3BFE" w:rsidP="003A3657">
      <w:pPr>
        <w:numPr>
          <w:ilvl w:val="0"/>
          <w:numId w:val="2"/>
        </w:numPr>
        <w:spacing w:line="280" w:lineRule="exact"/>
      </w:pPr>
      <w:r>
        <w:t>Der er behov for at foretage en løbende overvågning af udviklingen, således at eventuelle konkurrenceforvridende tiltag til skade for forbrugere eller handlende, kan behandles hurtigt og effektivt af relevante myndigheder</w:t>
      </w:r>
    </w:p>
    <w:p w:rsidR="002B3BFE" w:rsidRPr="000122CB" w:rsidRDefault="002B3BFE" w:rsidP="000122CB">
      <w:pPr>
        <w:numPr>
          <w:ilvl w:val="0"/>
          <w:numId w:val="2"/>
        </w:numPr>
        <w:spacing w:line="280" w:lineRule="exact"/>
      </w:pPr>
      <w:r>
        <w:t xml:space="preserve">Den sektorspecifikke en gros regulering samt øvrige horisontal lovgivning sikrer som udgangspunkt brugerne et udbud af konkurrerende tjenester og adgang til indhold, </w:t>
      </w:r>
      <w:r w:rsidRPr="000122CB">
        <w:t>således at brugerne kan vælge mellem udbydere med forskellige tilbud om service</w:t>
      </w:r>
      <w:r>
        <w:t>,</w:t>
      </w:r>
      <w:r w:rsidRPr="000122CB">
        <w:t xml:space="preserve"> fremkommelighed</w:t>
      </w:r>
      <w:r>
        <w:t xml:space="preserve"> mv. og således </w:t>
      </w:r>
      <w:r w:rsidRPr="000122CB">
        <w:t>at en enkelt udbyders tilbud</w:t>
      </w:r>
      <w:r>
        <w:t xml:space="preserve"> eller begrænsninger </w:t>
      </w:r>
      <w:r w:rsidRPr="000122CB">
        <w:t xml:space="preserve">kan fra- eller tilvælges efter brugerens behov.  </w:t>
      </w:r>
    </w:p>
    <w:p w:rsidR="002B3BFE" w:rsidRDefault="002B3BFE" w:rsidP="003A3657">
      <w:pPr>
        <w:spacing w:line="280" w:lineRule="exact"/>
      </w:pPr>
    </w:p>
    <w:p w:rsidR="002B3BFE" w:rsidRDefault="002B3BFE" w:rsidP="003A3657">
      <w:pPr>
        <w:spacing w:line="280" w:lineRule="exact"/>
      </w:pPr>
      <w:r>
        <w:t xml:space="preserve">danner </w:t>
      </w:r>
      <w:r w:rsidRPr="003E2AA8">
        <w:t xml:space="preserve">ovennævnte principper for netneutralitet grundlag for etablering af og arbejdet i et </w:t>
      </w:r>
      <w:r>
        <w:t>'</w:t>
      </w:r>
      <w:r w:rsidRPr="003E2AA8">
        <w:t xml:space="preserve">Forum </w:t>
      </w:r>
      <w:r>
        <w:t xml:space="preserve">for netneutralitet' </w:t>
      </w:r>
      <w:r w:rsidRPr="003E2AA8">
        <w:t>etableret med reference til Teleforum i regi af IT- og Telestyrelsen, h</w:t>
      </w:r>
      <w:r>
        <w:t>vor problemstillinger relateret til net</w:t>
      </w:r>
      <w:r w:rsidRPr="003E2AA8">
        <w:t>neutralitet kan bringes op, afkla</w:t>
      </w:r>
      <w:r>
        <w:t xml:space="preserve">res og håndteres med udgangspunkt i </w:t>
      </w:r>
      <w:r w:rsidRPr="003E2AA8">
        <w:t xml:space="preserve">disse principper. </w:t>
      </w:r>
    </w:p>
    <w:p w:rsidR="002B3BFE" w:rsidRPr="003E2AA8" w:rsidRDefault="002B3BFE" w:rsidP="003A3657">
      <w:pPr>
        <w:spacing w:line="280" w:lineRule="exact"/>
      </w:pPr>
      <w:r w:rsidRPr="003E2AA8">
        <w:t xml:space="preserve">Forum </w:t>
      </w:r>
      <w:r>
        <w:t>for netneutralitet baserer sit arbejde på disse principper, men deltagerne har ikke dermed accepteret principperne.</w:t>
      </w:r>
      <w:r w:rsidRPr="003E2AA8">
        <w:t xml:space="preserve"> Deltagere</w:t>
      </w:r>
      <w:r>
        <w:t xml:space="preserve"> i Forum, som </w:t>
      </w:r>
      <w:r w:rsidRPr="003E2AA8">
        <w:t>er interessenter</w:t>
      </w:r>
      <w:r>
        <w:t xml:space="preserve"> (med udgangspunkt i Teleforums medlemskreds), vil</w:t>
      </w:r>
      <w:r w:rsidRPr="003E2AA8">
        <w:t xml:space="preserve"> </w:t>
      </w:r>
      <w:r>
        <w:t>dog under alle omstændigheder</w:t>
      </w:r>
      <w:r w:rsidRPr="003E2AA8">
        <w:t xml:space="preserve"> indgå konstruktivt i </w:t>
      </w:r>
      <w:r>
        <w:t xml:space="preserve">arbejdet, herunder i en </w:t>
      </w:r>
      <w:r w:rsidRPr="003E2AA8">
        <w:t xml:space="preserve"> </w:t>
      </w:r>
      <w:r>
        <w:t xml:space="preserve">videreudvikling af principperne og i at </w:t>
      </w:r>
      <w:r w:rsidRPr="003E2AA8">
        <w:t>håndtere mulige problem</w:t>
      </w:r>
      <w:r>
        <w:t>stillinger</w:t>
      </w:r>
      <w:r w:rsidRPr="003E2AA8">
        <w:t xml:space="preserve"> </w:t>
      </w:r>
      <w:r>
        <w:t xml:space="preserve">vedrørende </w:t>
      </w:r>
      <w:r w:rsidRPr="003E2AA8">
        <w:t>netneutralitet</w:t>
      </w:r>
      <w:r>
        <w:t>,</w:t>
      </w:r>
      <w:r w:rsidRPr="003E2AA8">
        <w:t xml:space="preserve"> der måtte blive bragt op i  </w:t>
      </w:r>
      <w:r>
        <w:t>'F</w:t>
      </w:r>
      <w:r w:rsidRPr="003E2AA8">
        <w:t>orum</w:t>
      </w:r>
      <w:r>
        <w:t xml:space="preserve"> for netneutralitet'</w:t>
      </w:r>
      <w:r w:rsidRPr="003E2AA8">
        <w:t xml:space="preserve">. </w:t>
      </w:r>
    </w:p>
    <w:p w:rsidR="002B3BFE" w:rsidRPr="003E2AA8" w:rsidRDefault="002B3BFE" w:rsidP="004B502E">
      <w:pPr>
        <w:spacing w:line="280" w:lineRule="exact"/>
        <w:ind w:left="301"/>
      </w:pPr>
    </w:p>
    <w:p w:rsidR="002B3BFE" w:rsidRDefault="002B3BFE" w:rsidP="003A3657">
      <w:pPr>
        <w:spacing w:line="280" w:lineRule="exact"/>
      </w:pPr>
    </w:p>
    <w:p w:rsidR="002B3BFE" w:rsidRDefault="002B3BFE" w:rsidP="003A3657">
      <w:pPr>
        <w:spacing w:line="280" w:lineRule="exact"/>
        <w:rPr>
          <w:b/>
        </w:rPr>
      </w:pPr>
      <w:r>
        <w:rPr>
          <w:b/>
        </w:rPr>
        <w:t>Uddybning af p</w:t>
      </w:r>
      <w:r w:rsidRPr="006A4A17">
        <w:rPr>
          <w:b/>
        </w:rPr>
        <w:t>rincipper for netneutralitet</w:t>
      </w:r>
    </w:p>
    <w:p w:rsidR="002B3BFE" w:rsidRPr="00045C71" w:rsidRDefault="002B3BFE" w:rsidP="001C2791">
      <w:pPr>
        <w:spacing w:line="280" w:lineRule="exact"/>
      </w:pPr>
      <w:r>
        <w:t xml:space="preserve">Der er i Forum for neutralitet enighed om at principper for netneutralitet </w:t>
      </w:r>
      <w:r w:rsidRPr="00045C71">
        <w:t xml:space="preserve">skal </w:t>
      </w:r>
      <w:r>
        <w:t>bidrage til,</w:t>
      </w:r>
      <w:r w:rsidRPr="00045C71">
        <w:t xml:space="preserve"> at </w:t>
      </w:r>
      <w:r>
        <w:t>det åbne I</w:t>
      </w:r>
      <w:r w:rsidRPr="00045C71">
        <w:t>nter</w:t>
      </w:r>
      <w:r>
        <w:t>net</w:t>
      </w:r>
      <w:r w:rsidRPr="00045C71">
        <w:t xml:space="preserve"> forbliver åbent og ikke-diskriminerende samtidigt med at tr</w:t>
      </w:r>
      <w:r w:rsidRPr="00045C71">
        <w:t>a</w:t>
      </w:r>
      <w:r w:rsidRPr="00045C71">
        <w:t>fik</w:t>
      </w:r>
      <w:r>
        <w:t>ken på I</w:t>
      </w:r>
      <w:r w:rsidRPr="00045C71">
        <w:t>nternettet afvikles mest hensigtsmæssigt til gavn for kunderne</w:t>
      </w:r>
      <w:r>
        <w:t xml:space="preserve"> også under hensyntagen til den platform, hvorpå trafikken afvikles, specielt om der </w:t>
      </w:r>
      <w:r w:rsidR="00CD7E2B">
        <w:t xml:space="preserve">er </w:t>
      </w:r>
      <w:r>
        <w:t>tale om mobil eller fastnet</w:t>
      </w:r>
      <w:r w:rsidRPr="00045C71">
        <w:t>.</w:t>
      </w:r>
    </w:p>
    <w:p w:rsidR="002B3BFE" w:rsidRDefault="002B3BFE" w:rsidP="003A3657">
      <w:pPr>
        <w:spacing w:line="280" w:lineRule="exact"/>
        <w:rPr>
          <w:b/>
        </w:rPr>
      </w:pPr>
    </w:p>
    <w:p w:rsidR="002B3BFE" w:rsidRDefault="002B3BFE" w:rsidP="003A3657">
      <w:pPr>
        <w:spacing w:line="280" w:lineRule="exact"/>
      </w:pPr>
      <w:r>
        <w:t>På grund af Internettets dynamiske udvikling vil der forventeligt blive behov for, at Forum for netneutralitet løbende opdaterer principper og retningslinjer for også i fre</w:t>
      </w:r>
      <w:r>
        <w:t>m</w:t>
      </w:r>
      <w:r>
        <w:lastRenderedPageBreak/>
        <w:t xml:space="preserve">tiden at sikre, at trafikken på Internettet afvikles mest hensigtsmæssigt til gavn for brugerne. </w:t>
      </w:r>
    </w:p>
    <w:p w:rsidR="002B3BFE" w:rsidRDefault="002B3BFE" w:rsidP="003A3657">
      <w:pPr>
        <w:shd w:val="clear" w:color="auto" w:fill="FFFFFF"/>
        <w:ind w:left="59" w:right="62"/>
        <w:rPr>
          <w:b/>
          <w:u w:val="single"/>
        </w:rPr>
      </w:pPr>
    </w:p>
    <w:p w:rsidR="002B3BFE" w:rsidRPr="00B16F13" w:rsidRDefault="002B3BFE" w:rsidP="003A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62"/>
        <w:rPr>
          <w:b/>
        </w:rPr>
      </w:pPr>
      <w:r>
        <w:rPr>
          <w:b/>
        </w:rPr>
        <w:t>Princip 1</w:t>
      </w:r>
      <w:r w:rsidRPr="009822A2">
        <w:rPr>
          <w:b/>
        </w:rPr>
        <w:t>:</w:t>
      </w:r>
      <w:r>
        <w:rPr>
          <w:b/>
        </w:rPr>
        <w:t xml:space="preserve"> Brugerne har ret til en I</w:t>
      </w:r>
      <w:r w:rsidRPr="00B16F13">
        <w:rPr>
          <w:b/>
        </w:rPr>
        <w:t>nternetadgang med deklareret kapacitet og kvalitet</w:t>
      </w:r>
      <w:r>
        <w:rPr>
          <w:rStyle w:val="Fodnotehenvisning"/>
          <w:b/>
        </w:rPr>
        <w:footnoteReference w:id="3"/>
      </w:r>
      <w:r w:rsidRPr="00B16F13">
        <w:rPr>
          <w:b/>
        </w:rPr>
        <w:t xml:space="preserve"> </w:t>
      </w:r>
    </w:p>
    <w:p w:rsidR="002B3BFE" w:rsidRDefault="002B3BFE" w:rsidP="003A3657">
      <w:pPr>
        <w:spacing w:line="280" w:lineRule="exact"/>
        <w:ind w:left="59"/>
      </w:pPr>
    </w:p>
    <w:p w:rsidR="002B3BFE" w:rsidRDefault="002B3BFE" w:rsidP="003A3657">
      <w:pPr>
        <w:spacing w:line="280" w:lineRule="exact"/>
        <w:ind w:left="59"/>
      </w:pPr>
      <w:r>
        <w:t>Princippet indebærer:</w:t>
      </w:r>
    </w:p>
    <w:p w:rsidR="002B3BFE" w:rsidRDefault="002B3BFE">
      <w:pPr>
        <w:pStyle w:val="Listeafsnit"/>
        <w:numPr>
          <w:ilvl w:val="0"/>
          <w:numId w:val="16"/>
        </w:numPr>
        <w:spacing w:line="280" w:lineRule="exact"/>
      </w:pPr>
      <w:r>
        <w:t>Internetforbindelsens kapacitet og kvalitet/begrænsninger skal være oplyst klart og tydeligt.</w:t>
      </w:r>
    </w:p>
    <w:p w:rsidR="002B3BFE" w:rsidRDefault="002B3BFE">
      <w:pPr>
        <w:pStyle w:val="Listeafsnit"/>
        <w:numPr>
          <w:ilvl w:val="0"/>
          <w:numId w:val="16"/>
        </w:numPr>
        <w:spacing w:line="280" w:lineRule="exact"/>
      </w:pPr>
      <w:r>
        <w:t>Såfremt flere tjenester deler en bredbåndsforbindelse, har brugeren ret til at få beskrevet eventuelle konsekvenser for internetadgangen, når andre tjenester sp</w:t>
      </w:r>
      <w:r>
        <w:t>e</w:t>
      </w:r>
      <w:r>
        <w:t>cielt i tilfælde af prioriterede tjenester er aktive (jf. også princip 3).</w:t>
      </w:r>
    </w:p>
    <w:p w:rsidR="002B3BFE" w:rsidRPr="00055568" w:rsidRDefault="002B3BFE" w:rsidP="003A3657">
      <w:pPr>
        <w:spacing w:line="280" w:lineRule="exact"/>
        <w:ind w:left="360"/>
        <w:rPr>
          <w:b/>
        </w:rPr>
      </w:pPr>
    </w:p>
    <w:p w:rsidR="002B3BFE" w:rsidRPr="009822A2" w:rsidRDefault="002B3BFE" w:rsidP="003A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9" w:right="62"/>
        <w:rPr>
          <w:b/>
        </w:rPr>
      </w:pPr>
      <w:r>
        <w:rPr>
          <w:b/>
        </w:rPr>
        <w:t>Princip 2:</w:t>
      </w:r>
      <w:r w:rsidRPr="009822A2">
        <w:rPr>
          <w:b/>
        </w:rPr>
        <w:t xml:space="preserve"> Brugerne har ret til at tilgå lovligt indhold og at anvende applik</w:t>
      </w:r>
      <w:r w:rsidRPr="009822A2">
        <w:rPr>
          <w:b/>
        </w:rPr>
        <w:t>a</w:t>
      </w:r>
      <w:r w:rsidRPr="009822A2">
        <w:rPr>
          <w:b/>
        </w:rPr>
        <w:t>tioner og tjenester efter eget valg forudsat</w:t>
      </w:r>
      <w:r>
        <w:rPr>
          <w:b/>
        </w:rPr>
        <w:t>, at</w:t>
      </w:r>
      <w:r w:rsidRPr="009822A2">
        <w:rPr>
          <w:b/>
        </w:rPr>
        <w:t xml:space="preserve"> det ikke påvirker netintegritet  </w:t>
      </w:r>
    </w:p>
    <w:p w:rsidR="002B3BFE" w:rsidRDefault="002B3BFE" w:rsidP="003A3657">
      <w:pPr>
        <w:shd w:val="clear" w:color="auto" w:fill="FFFFFF"/>
        <w:ind w:right="62"/>
        <w:rPr>
          <w:b/>
        </w:rPr>
      </w:pPr>
    </w:p>
    <w:p w:rsidR="002B3BFE" w:rsidRDefault="002B3BFE" w:rsidP="003A3657">
      <w:pPr>
        <w:spacing w:line="280" w:lineRule="exact"/>
        <w:ind w:left="59"/>
      </w:pPr>
      <w:r>
        <w:t>Princippet indebærer:</w:t>
      </w:r>
    </w:p>
    <w:p w:rsidR="002B3BFE" w:rsidRDefault="002B3BFE" w:rsidP="00AC2D3C">
      <w:pPr>
        <w:pStyle w:val="Listeafsnit"/>
        <w:numPr>
          <w:ilvl w:val="0"/>
          <w:numId w:val="16"/>
        </w:numPr>
        <w:spacing w:line="280" w:lineRule="exact"/>
      </w:pPr>
      <w:r>
        <w:t>Internetudbyderen må ikke blokere adgangen til bestemte hjemmesider uden hjemmel i lov, eller medmindre der foreligger en myndigheds- eller domstolsafg</w:t>
      </w:r>
      <w:r>
        <w:t>ø</w:t>
      </w:r>
      <w:r>
        <w:t>relse.</w:t>
      </w:r>
    </w:p>
    <w:p w:rsidR="002B3BFE" w:rsidRDefault="002B3BFE" w:rsidP="00AC2D3C">
      <w:pPr>
        <w:pStyle w:val="Listeafsnit"/>
        <w:numPr>
          <w:ilvl w:val="0"/>
          <w:numId w:val="16"/>
        </w:numPr>
        <w:spacing w:line="280" w:lineRule="exact"/>
      </w:pPr>
      <w:r>
        <w:t>Princippet kan ikke påberåbes til støtte for ulovlige eller skadelige handlinger he</w:t>
      </w:r>
      <w:r>
        <w:t>r</w:t>
      </w:r>
      <w:r>
        <w:t>under ulovlig distribution af ophavsretsligt beskyttet materiale. Internetudbyderes blokering af børnepornografisk materiale, spam, virus og andet skadeligt indhold strider ikke imod dette princip.</w:t>
      </w:r>
    </w:p>
    <w:p w:rsidR="002B3BFE" w:rsidRPr="009822A2" w:rsidRDefault="002B3BFE" w:rsidP="00AC2D3C">
      <w:pPr>
        <w:pStyle w:val="Listeafsnit"/>
        <w:numPr>
          <w:ilvl w:val="0"/>
          <w:numId w:val="16"/>
        </w:numPr>
        <w:spacing w:line="280" w:lineRule="exact"/>
      </w:pPr>
      <w:r>
        <w:t>Princippet er ikke til hinder for, at internetudbydere blokerer for brug af udstyr, applikationer eller tjenester, der er til skade for netintegritet</w:t>
      </w:r>
    </w:p>
    <w:p w:rsidR="002B3BFE" w:rsidRDefault="002B3BFE" w:rsidP="00AC2D3C">
      <w:pPr>
        <w:pStyle w:val="Listeafsnit"/>
        <w:spacing w:line="280" w:lineRule="exact"/>
        <w:ind w:left="419"/>
      </w:pPr>
    </w:p>
    <w:p w:rsidR="002B3BFE" w:rsidRPr="00055568" w:rsidRDefault="002B3BFE" w:rsidP="003A3657">
      <w:pPr>
        <w:shd w:val="clear" w:color="auto" w:fill="FFFFFF"/>
        <w:ind w:right="62"/>
        <w:rPr>
          <w:b/>
        </w:rPr>
      </w:pPr>
    </w:p>
    <w:p w:rsidR="002B3BFE" w:rsidRDefault="002B3BFE" w:rsidP="003A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62"/>
        <w:rPr>
          <w:b/>
        </w:rPr>
      </w:pPr>
      <w:r>
        <w:rPr>
          <w:b/>
        </w:rPr>
        <w:t>Princip 3:</w:t>
      </w:r>
      <w:r w:rsidRPr="00055568">
        <w:rPr>
          <w:b/>
        </w:rPr>
        <w:t xml:space="preserve"> Brugeren skal have adgang til gennemsigtighed, dvs. brugerne skal kunne få indsigt i</w:t>
      </w:r>
      <w:r>
        <w:rPr>
          <w:b/>
        </w:rPr>
        <w:t>,</w:t>
      </w:r>
      <w:r w:rsidRPr="00055568">
        <w:rPr>
          <w:b/>
        </w:rPr>
        <w:t xml:space="preserve"> hvilke </w:t>
      </w:r>
      <w:r>
        <w:rPr>
          <w:b/>
        </w:rPr>
        <w:t xml:space="preserve">relevante </w:t>
      </w:r>
      <w:r w:rsidRPr="00055568">
        <w:rPr>
          <w:b/>
        </w:rPr>
        <w:t xml:space="preserve">trafikstyrings principper en </w:t>
      </w:r>
      <w:r>
        <w:rPr>
          <w:b/>
        </w:rPr>
        <w:t>i</w:t>
      </w:r>
      <w:r w:rsidRPr="00055568">
        <w:rPr>
          <w:b/>
        </w:rPr>
        <w:t>nternetudb</w:t>
      </w:r>
      <w:r w:rsidRPr="00055568">
        <w:rPr>
          <w:b/>
        </w:rPr>
        <w:t>y</w:t>
      </w:r>
      <w:r w:rsidRPr="00055568">
        <w:rPr>
          <w:b/>
        </w:rPr>
        <w:t>der anvender</w:t>
      </w:r>
    </w:p>
    <w:p w:rsidR="002B3BFE" w:rsidRPr="00055568" w:rsidRDefault="002B3BFE" w:rsidP="003A3657">
      <w:pPr>
        <w:shd w:val="clear" w:color="auto" w:fill="FFFFFF"/>
        <w:ind w:right="62"/>
        <w:rPr>
          <w:b/>
        </w:rPr>
      </w:pPr>
    </w:p>
    <w:p w:rsidR="002B3BFE" w:rsidRDefault="002B3BFE" w:rsidP="003A3657">
      <w:pPr>
        <w:spacing w:line="280" w:lineRule="exact"/>
      </w:pPr>
      <w:r>
        <w:t xml:space="preserve">Princippet forhindrer ikke kundeaftaler, hvor pris og vilkår afspejler kundens belastning af nettets kapacitet, forudsat kunden er oplyst herom jf. princip 1. Eksempler herpå er ”fair usage” grænser og peak-hour begrænsninger. </w:t>
      </w:r>
    </w:p>
    <w:p w:rsidR="002B3BFE" w:rsidRDefault="002B3BFE" w:rsidP="003A3657">
      <w:pPr>
        <w:shd w:val="clear" w:color="auto" w:fill="FFFFFF"/>
        <w:ind w:right="62"/>
      </w:pPr>
    </w:p>
    <w:p w:rsidR="002B3BFE" w:rsidRPr="009822A2" w:rsidRDefault="002B3BFE" w:rsidP="00AC2D3C">
      <w:pPr>
        <w:spacing w:line="280" w:lineRule="exact"/>
      </w:pPr>
      <w:r>
        <w:t>Både generelt og i</w:t>
      </w:r>
      <w:r w:rsidRPr="00B16F13">
        <w:t xml:space="preserve"> tilfælde af overbelastninger i nettet er det i overensstemmelse med princippet at </w:t>
      </w:r>
      <w:r>
        <w:t>Internetudbydere foretager trafik styring således, at trafikken på I</w:t>
      </w:r>
      <w:r w:rsidRPr="00B16F13">
        <w:t>nte</w:t>
      </w:r>
      <w:r w:rsidRPr="00B16F13">
        <w:t>r</w:t>
      </w:r>
      <w:r w:rsidRPr="00B16F13">
        <w:t xml:space="preserve">nettet afvikles mest retfærdigt og effektivt eksempelvis med prioritering af tjenester med behov for højere tjenestekvalitet. </w:t>
      </w:r>
      <w:r>
        <w:t xml:space="preserve">Princippet indebærer således, at brugerne skal kunne få oplyst , hvis bestemte trafiktyper prioriteres aht. sikring af brugeroplevelsen, som det kan være tilfældet med streaming eller VoIP.  </w:t>
      </w:r>
    </w:p>
    <w:p w:rsidR="002B3BFE" w:rsidRDefault="002B3BFE" w:rsidP="00AC2D3C">
      <w:pPr>
        <w:spacing w:line="280" w:lineRule="exact"/>
      </w:pPr>
    </w:p>
    <w:p w:rsidR="002B3BFE" w:rsidRDefault="002B3BFE" w:rsidP="00AC2D3C">
      <w:pPr>
        <w:spacing w:line="280" w:lineRule="exact"/>
      </w:pPr>
      <w:r w:rsidRPr="00B16F13">
        <w:t xml:space="preserve">En sådan prioritering må </w:t>
      </w:r>
      <w:r>
        <w:t xml:space="preserve">på det åbne Internet </w:t>
      </w:r>
      <w:r w:rsidRPr="00B16F13">
        <w:t>ikke diskriminere imod bestemte brug</w:t>
      </w:r>
      <w:r w:rsidRPr="00B16F13">
        <w:t>e</w:t>
      </w:r>
      <w:r w:rsidRPr="00B16F13">
        <w:t>re eller indholdsudbydere</w:t>
      </w:r>
      <w:r>
        <w:t xml:space="preserve"> jf. princip </w:t>
      </w:r>
      <w:r w:rsidR="00BE6F8A">
        <w:t>4</w:t>
      </w:r>
      <w:r>
        <w:t xml:space="preserve">. </w:t>
      </w:r>
    </w:p>
    <w:p w:rsidR="002B3BFE" w:rsidRDefault="002B3BFE" w:rsidP="003A3657">
      <w:pPr>
        <w:spacing w:line="280" w:lineRule="exact"/>
      </w:pPr>
    </w:p>
    <w:p w:rsidR="002B3BFE" w:rsidRPr="00B16F13" w:rsidRDefault="002B3BFE" w:rsidP="003A3657">
      <w:pPr>
        <w:pStyle w:val="Listeafsnit"/>
        <w:ind w:left="779"/>
        <w:rPr>
          <w:b/>
        </w:rPr>
      </w:pPr>
    </w:p>
    <w:p w:rsidR="002B3BFE" w:rsidRPr="00B16F13" w:rsidRDefault="002B3BFE" w:rsidP="003A3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118" w:right="62"/>
        <w:rPr>
          <w:b/>
        </w:rPr>
      </w:pPr>
      <w:r w:rsidRPr="00B16F13">
        <w:rPr>
          <w:b/>
        </w:rPr>
        <w:lastRenderedPageBreak/>
        <w:t xml:space="preserve">Princip </w:t>
      </w:r>
      <w:r>
        <w:rPr>
          <w:b/>
        </w:rPr>
        <w:t>4:</w:t>
      </w:r>
      <w:r w:rsidRPr="00B16F13">
        <w:rPr>
          <w:b/>
        </w:rPr>
        <w:t xml:space="preserve"> Internetudbyderne skal ikke diskriminere i forhold til bestemte </w:t>
      </w:r>
      <w:r w:rsidR="00BE6F8A">
        <w:rPr>
          <w:b/>
        </w:rPr>
        <w:t xml:space="preserve">udbydere af </w:t>
      </w:r>
      <w:r w:rsidRPr="00B16F13">
        <w:rPr>
          <w:b/>
        </w:rPr>
        <w:t xml:space="preserve">tjenester, indhold eller applikationer  </w:t>
      </w:r>
    </w:p>
    <w:p w:rsidR="002B3BFE" w:rsidRDefault="002B3BFE" w:rsidP="003A3657">
      <w:pPr>
        <w:spacing w:line="280" w:lineRule="exact"/>
        <w:ind w:left="59"/>
      </w:pPr>
    </w:p>
    <w:p w:rsidR="002B3BFE" w:rsidRPr="00D3617E" w:rsidRDefault="002B3BFE" w:rsidP="00CC1C11">
      <w:pPr>
        <w:spacing w:line="280" w:lineRule="exact"/>
        <w:ind w:left="59"/>
      </w:pPr>
      <w:r>
        <w:t xml:space="preserve">Princippet indebærer, at Internetudbydere ikke i overensstemmelse med princip 1-3 diskriminerer mht. adgangsmuligheder eller vilkår i forhold </w:t>
      </w:r>
      <w:r w:rsidRPr="00B329EC">
        <w:t xml:space="preserve">til bestemte </w:t>
      </w:r>
      <w:r>
        <w:t xml:space="preserve">udbydere af </w:t>
      </w:r>
      <w:r w:rsidRPr="00B329EC">
        <w:t>tjenester, indhold eller applikationer</w:t>
      </w:r>
      <w:r>
        <w:t>. Princippet indebærer, at brugerne såfremt dette er oplyst i overensstemmelse med princip 1</w:t>
      </w:r>
      <w:r w:rsidR="00CD7E2B">
        <w:t>,</w:t>
      </w:r>
      <w:r>
        <w:t xml:space="preserve"> kan tilbydes forskellige tjenester, med forskellige muligheder for adgang, pris eller fremkommelighed.  </w:t>
      </w:r>
    </w:p>
    <w:p w:rsidR="002B3BFE" w:rsidRDefault="002B3BFE" w:rsidP="004B502E">
      <w:pPr>
        <w:spacing w:line="280" w:lineRule="exact"/>
        <w:ind w:left="360"/>
      </w:pPr>
    </w:p>
    <w:sectPr w:rsidR="002B3BFE" w:rsidSect="006A4A17">
      <w:footerReference w:type="default" r:id="rId8"/>
      <w:pgSz w:w="11906" w:h="16838"/>
      <w:pgMar w:top="1701" w:right="1134" w:bottom="1701" w:left="283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47B" w:rsidRDefault="008D247B">
      <w:r>
        <w:separator/>
      </w:r>
    </w:p>
  </w:endnote>
  <w:endnote w:type="continuationSeparator" w:id="0">
    <w:p w:rsidR="008D247B" w:rsidRDefault="008D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y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ySa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410346"/>
      <w:docPartObj>
        <w:docPartGallery w:val="Page Numbers (Bottom of Page)"/>
        <w:docPartUnique/>
      </w:docPartObj>
    </w:sdtPr>
    <w:sdtEndPr/>
    <w:sdtContent>
      <w:p w:rsidR="00CD7E2B" w:rsidRDefault="006B0C5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5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E2B" w:rsidRDefault="00CD7E2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47B" w:rsidRDefault="008D247B">
      <w:r>
        <w:separator/>
      </w:r>
    </w:p>
  </w:footnote>
  <w:footnote w:type="continuationSeparator" w:id="0">
    <w:p w:rsidR="008D247B" w:rsidRDefault="008D247B">
      <w:r>
        <w:continuationSeparator/>
      </w:r>
    </w:p>
  </w:footnote>
  <w:footnote w:id="1">
    <w:p w:rsidR="002B3BFE" w:rsidRDefault="002B3BFE" w:rsidP="002C1444">
      <w:pPr>
        <w:pStyle w:val="Fodnotetekst"/>
      </w:pPr>
      <w:r>
        <w:rPr>
          <w:rStyle w:val="Fodnotehenvisning"/>
        </w:rPr>
        <w:footnoteRef/>
      </w:r>
      <w:r w:rsidRPr="00D56B4F">
        <w:t xml:space="preserve"> </w:t>
      </w:r>
      <w:r w:rsidRPr="00D56B4F">
        <w:rPr>
          <w:sz w:val="16"/>
          <w:szCs w:val="16"/>
        </w:rPr>
        <w:t>Internetadgang forstås herefter hvis ikke andet er angivet som adgang til åbent 'best effort ' Internet.</w:t>
      </w:r>
    </w:p>
  </w:footnote>
  <w:footnote w:id="2">
    <w:p w:rsidR="002B3BFE" w:rsidRDefault="002B3BFE" w:rsidP="002547BD">
      <w:pPr>
        <w:autoSpaceDE w:val="0"/>
        <w:autoSpaceDN w:val="0"/>
        <w:adjustRightInd w:val="0"/>
        <w:rPr>
          <w:sz w:val="16"/>
          <w:szCs w:val="16"/>
          <w:lang w:val="en-US"/>
        </w:rPr>
      </w:pPr>
      <w:r>
        <w:rPr>
          <w:rStyle w:val="Fodnotehenvisning"/>
        </w:rPr>
        <w:footnoteRef/>
      </w:r>
      <w:r>
        <w:rPr>
          <w:lang w:val="en-US"/>
        </w:rPr>
        <w:t xml:space="preserve"> </w:t>
      </w:r>
      <w:r w:rsidRPr="00462F3E">
        <w:rPr>
          <w:sz w:val="16"/>
          <w:szCs w:val="16"/>
          <w:lang w:val="en-US"/>
        </w:rPr>
        <w:t>Jf. f.</w:t>
      </w:r>
      <w:r>
        <w:rPr>
          <w:sz w:val="16"/>
          <w:szCs w:val="16"/>
          <w:lang w:val="en-US"/>
        </w:rPr>
        <w:t>eks.:</w:t>
      </w:r>
    </w:p>
    <w:p w:rsidR="002B3BFE" w:rsidRDefault="002B3BFE" w:rsidP="002547BD">
      <w:pPr>
        <w:autoSpaceDE w:val="0"/>
        <w:autoSpaceDN w:val="0"/>
        <w:adjustRightInd w:val="0"/>
        <w:rPr>
          <w:rFonts w:cs="QuaySans-Book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ARCEP</w:t>
      </w:r>
      <w:r w:rsidRPr="00462F3E">
        <w:rPr>
          <w:sz w:val="16"/>
          <w:szCs w:val="16"/>
          <w:lang w:val="en-US"/>
        </w:rPr>
        <w:t xml:space="preserve"> </w:t>
      </w:r>
      <w:r w:rsidRPr="00462F3E">
        <w:rPr>
          <w:rFonts w:cs="QuaySans-Medium"/>
          <w:i/>
          <w:sz w:val="16"/>
          <w:szCs w:val="16"/>
          <w:lang w:val="en-US"/>
        </w:rPr>
        <w:t xml:space="preserve">“Managed services”: </w:t>
      </w:r>
      <w:r w:rsidRPr="00462F3E">
        <w:rPr>
          <w:rFonts w:cs="QuaySans-Book"/>
          <w:i/>
          <w:sz w:val="16"/>
          <w:szCs w:val="16"/>
          <w:lang w:val="en-US"/>
        </w:rPr>
        <w:t>services providing access to content/services/applications through electronic means, for which the network operator guarantees certain specific features end-to-end and/or over a given period of time, thanks to the techniques it uses, either directly on the ne</w:t>
      </w:r>
      <w:r w:rsidRPr="00462F3E">
        <w:rPr>
          <w:rFonts w:cs="QuaySans-Book"/>
          <w:i/>
          <w:sz w:val="16"/>
          <w:szCs w:val="16"/>
          <w:lang w:val="en-US"/>
        </w:rPr>
        <w:t>t</w:t>
      </w:r>
      <w:r w:rsidRPr="00462F3E">
        <w:rPr>
          <w:rFonts w:cs="QuaySans-Book"/>
          <w:i/>
          <w:sz w:val="16"/>
          <w:szCs w:val="16"/>
          <w:lang w:val="en-US"/>
        </w:rPr>
        <w:t>work it owns and operates, or through agreements with the operators responsible for routing traffic.</w:t>
      </w:r>
      <w:r>
        <w:rPr>
          <w:rFonts w:cs="QuaySans-Book"/>
          <w:i/>
          <w:sz w:val="16"/>
          <w:szCs w:val="16"/>
          <w:lang w:val="en-US"/>
        </w:rPr>
        <w:t xml:space="preserve"> </w:t>
      </w:r>
      <w:r w:rsidRPr="00462F3E">
        <w:rPr>
          <w:rFonts w:cs="QuaySans-Book"/>
          <w:i/>
          <w:sz w:val="16"/>
          <w:szCs w:val="16"/>
          <w:lang w:val="en-US"/>
        </w:rPr>
        <w:t xml:space="preserve"> </w:t>
      </w:r>
      <w:r w:rsidRPr="00462F3E">
        <w:rPr>
          <w:rFonts w:cs="QuaySans-Book"/>
          <w:sz w:val="16"/>
          <w:szCs w:val="16"/>
          <w:lang w:val="en-US"/>
        </w:rPr>
        <w:t>Internet and network neutrality, ARCEP September 2010 p.10</w:t>
      </w:r>
    </w:p>
    <w:p w:rsidR="002B3BFE" w:rsidRPr="00D56B4F" w:rsidRDefault="002B3BFE" w:rsidP="002547BD">
      <w:pPr>
        <w:autoSpaceDE w:val="0"/>
        <w:autoSpaceDN w:val="0"/>
        <w:adjustRightInd w:val="0"/>
        <w:rPr>
          <w:lang w:val="en-US"/>
        </w:rPr>
      </w:pPr>
      <w:r w:rsidRPr="00462F3E">
        <w:rPr>
          <w:sz w:val="16"/>
          <w:szCs w:val="16"/>
          <w:lang w:val="en-US"/>
        </w:rPr>
        <w:t>FCC: Specialized services</w:t>
      </w:r>
      <w:r w:rsidRPr="00462F3E">
        <w:rPr>
          <w:rFonts w:cs="QuaySans-Book"/>
          <w:i/>
          <w:sz w:val="16"/>
          <w:szCs w:val="16"/>
          <w:lang w:val="en-US"/>
        </w:rPr>
        <w:t>:  "services that share capacity with broadband Internet access over providers’ last-mile facilities… such as some broadband providers’ existing facilities-based VoIP and Internet Protocol-video offerings…[ these services]..differ from broadband Internet access service and may drive additional private investment in broadband networks and provide consu</w:t>
      </w:r>
      <w:r w:rsidRPr="00462F3E">
        <w:rPr>
          <w:rFonts w:cs="QuaySans-Book"/>
          <w:i/>
          <w:sz w:val="16"/>
          <w:szCs w:val="16"/>
          <w:lang w:val="en-US"/>
        </w:rPr>
        <w:t>m</w:t>
      </w:r>
      <w:r w:rsidRPr="00462F3E">
        <w:rPr>
          <w:rFonts w:cs="QuaySans-Book"/>
          <w:i/>
          <w:sz w:val="16"/>
          <w:szCs w:val="16"/>
          <w:lang w:val="en-US"/>
        </w:rPr>
        <w:t>ers valued services, supplementing the benefits of the open Internet.”</w:t>
      </w:r>
    </w:p>
  </w:footnote>
  <w:footnote w:id="3">
    <w:p w:rsidR="002B3BFE" w:rsidRDefault="002B3BF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40042D">
        <w:rPr>
          <w:sz w:val="16"/>
          <w:szCs w:val="16"/>
        </w:rPr>
        <w:t>Dette princip skal ikk</w:t>
      </w:r>
      <w:r>
        <w:rPr>
          <w:sz w:val="16"/>
          <w:szCs w:val="16"/>
        </w:rPr>
        <w:t>e fo</w:t>
      </w:r>
      <w:r w:rsidRPr="0040042D">
        <w:rPr>
          <w:sz w:val="16"/>
          <w:szCs w:val="16"/>
        </w:rPr>
        <w:t>rveksles</w:t>
      </w:r>
      <w:r>
        <w:rPr>
          <w:sz w:val="16"/>
          <w:szCs w:val="16"/>
        </w:rPr>
        <w:t xml:space="preserve"> med spørgsmål om mulig forsyni</w:t>
      </w:r>
      <w:r w:rsidRPr="0040042D">
        <w:rPr>
          <w:sz w:val="16"/>
          <w:szCs w:val="16"/>
        </w:rPr>
        <w:t>n</w:t>
      </w:r>
      <w:r>
        <w:rPr>
          <w:sz w:val="16"/>
          <w:szCs w:val="16"/>
        </w:rPr>
        <w:t>g</w:t>
      </w:r>
      <w:r w:rsidRPr="0040042D">
        <w:rPr>
          <w:sz w:val="16"/>
          <w:szCs w:val="16"/>
        </w:rPr>
        <w:t>spligt, dvs. ret til Interne</w:t>
      </w:r>
      <w:r w:rsidRPr="0040042D">
        <w:rPr>
          <w:sz w:val="16"/>
          <w:szCs w:val="16"/>
        </w:rPr>
        <w:t>t</w:t>
      </w:r>
      <w:r w:rsidRPr="0040042D">
        <w:rPr>
          <w:sz w:val="16"/>
          <w:szCs w:val="16"/>
        </w:rPr>
        <w:t>adgang med deklar</w:t>
      </w:r>
      <w:r>
        <w:rPr>
          <w:sz w:val="16"/>
          <w:szCs w:val="16"/>
        </w:rPr>
        <w:t>er</w:t>
      </w:r>
      <w:r w:rsidR="00CD7E2B">
        <w:rPr>
          <w:sz w:val="16"/>
          <w:szCs w:val="16"/>
        </w:rPr>
        <w:t>et kapacitet og kvalitet gælder</w:t>
      </w:r>
      <w:r w:rsidRPr="0040042D">
        <w:rPr>
          <w:sz w:val="16"/>
          <w:szCs w:val="16"/>
        </w:rPr>
        <w:t xml:space="preserve"> d</w:t>
      </w:r>
      <w:r w:rsidR="00CD7E2B">
        <w:rPr>
          <w:sz w:val="16"/>
          <w:szCs w:val="16"/>
        </w:rPr>
        <w:t>é</w:t>
      </w:r>
      <w:r w:rsidRPr="0040042D">
        <w:rPr>
          <w:sz w:val="16"/>
          <w:szCs w:val="16"/>
        </w:rPr>
        <w:t>r hvor der tilbydes Internetadgang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DE8"/>
    <w:multiLevelType w:val="hybridMultilevel"/>
    <w:tmpl w:val="AAC48D2A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83511A"/>
    <w:multiLevelType w:val="hybridMultilevel"/>
    <w:tmpl w:val="296A35A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C76E6"/>
    <w:multiLevelType w:val="hybridMultilevel"/>
    <w:tmpl w:val="658882B0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8962A2"/>
    <w:multiLevelType w:val="hybridMultilevel"/>
    <w:tmpl w:val="95BE1160"/>
    <w:lvl w:ilvl="0" w:tplc="23DC38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E14370"/>
    <w:multiLevelType w:val="hybridMultilevel"/>
    <w:tmpl w:val="2D2A1DD6"/>
    <w:lvl w:ilvl="0" w:tplc="A1361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5D43B3"/>
    <w:multiLevelType w:val="hybridMultilevel"/>
    <w:tmpl w:val="D1EA845A"/>
    <w:lvl w:ilvl="0" w:tplc="040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141C26"/>
    <w:multiLevelType w:val="hybridMultilevel"/>
    <w:tmpl w:val="0C3CA6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1C48E1"/>
    <w:multiLevelType w:val="hybridMultilevel"/>
    <w:tmpl w:val="25D000D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A0597D"/>
    <w:multiLevelType w:val="hybridMultilevel"/>
    <w:tmpl w:val="C0366668"/>
    <w:lvl w:ilvl="0" w:tplc="50CE7D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D440E5"/>
    <w:multiLevelType w:val="hybridMultilevel"/>
    <w:tmpl w:val="B81C853E"/>
    <w:lvl w:ilvl="0" w:tplc="0406000F">
      <w:start w:val="1"/>
      <w:numFmt w:val="decimal"/>
      <w:lvlText w:val="%1."/>
      <w:lvlJc w:val="left"/>
      <w:pPr>
        <w:ind w:left="419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0">
    <w:nsid w:val="32FD4815"/>
    <w:multiLevelType w:val="hybridMultilevel"/>
    <w:tmpl w:val="E6C6FD5C"/>
    <w:lvl w:ilvl="0" w:tplc="AC304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B0789B"/>
    <w:multiLevelType w:val="hybridMultilevel"/>
    <w:tmpl w:val="353CAFEE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22F48F5"/>
    <w:multiLevelType w:val="hybridMultilevel"/>
    <w:tmpl w:val="517A07DE"/>
    <w:lvl w:ilvl="0" w:tplc="04060001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3">
    <w:nsid w:val="47AA038B"/>
    <w:multiLevelType w:val="hybridMultilevel"/>
    <w:tmpl w:val="39CEF32A"/>
    <w:lvl w:ilvl="0" w:tplc="F078E7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22052C8"/>
    <w:multiLevelType w:val="hybridMultilevel"/>
    <w:tmpl w:val="2D2A1DD6"/>
    <w:lvl w:ilvl="0" w:tplc="A1361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4A1846"/>
    <w:multiLevelType w:val="hybridMultilevel"/>
    <w:tmpl w:val="432654DE"/>
    <w:lvl w:ilvl="0" w:tplc="0406000F">
      <w:start w:val="1"/>
      <w:numFmt w:val="decimal"/>
      <w:lvlText w:val="%1."/>
      <w:lvlJc w:val="left"/>
      <w:pPr>
        <w:ind w:left="419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139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59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79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99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019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739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59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79" w:hanging="180"/>
      </w:pPr>
      <w:rPr>
        <w:rFonts w:cs="Times New Roman"/>
      </w:rPr>
    </w:lvl>
  </w:abstractNum>
  <w:abstractNum w:abstractNumId="16">
    <w:nsid w:val="532D1FFB"/>
    <w:multiLevelType w:val="hybridMultilevel"/>
    <w:tmpl w:val="BCE4E80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D0731D9"/>
    <w:multiLevelType w:val="hybridMultilevel"/>
    <w:tmpl w:val="AAC48D2A"/>
    <w:lvl w:ilvl="0" w:tplc="0406000F">
      <w:start w:val="1"/>
      <w:numFmt w:val="decimal"/>
      <w:lvlText w:val="%1."/>
      <w:lvlJc w:val="left"/>
      <w:pPr>
        <w:ind w:left="419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8">
    <w:nsid w:val="77110C60"/>
    <w:multiLevelType w:val="hybridMultilevel"/>
    <w:tmpl w:val="B81C853E"/>
    <w:lvl w:ilvl="0" w:tplc="0406000F">
      <w:start w:val="1"/>
      <w:numFmt w:val="decimal"/>
      <w:lvlText w:val="%1."/>
      <w:lvlJc w:val="left"/>
      <w:pPr>
        <w:ind w:left="419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17"/>
  </w:num>
  <w:num w:numId="14">
    <w:abstractNumId w:val="14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57"/>
    <w:rsid w:val="00002785"/>
    <w:rsid w:val="000054E5"/>
    <w:rsid w:val="0001169F"/>
    <w:rsid w:val="000122CB"/>
    <w:rsid w:val="00045C71"/>
    <w:rsid w:val="00055568"/>
    <w:rsid w:val="00063E9C"/>
    <w:rsid w:val="00074D24"/>
    <w:rsid w:val="00095A27"/>
    <w:rsid w:val="000D2310"/>
    <w:rsid w:val="000E14F4"/>
    <w:rsid w:val="00127362"/>
    <w:rsid w:val="00127904"/>
    <w:rsid w:val="00196148"/>
    <w:rsid w:val="00196DC7"/>
    <w:rsid w:val="001A1557"/>
    <w:rsid w:val="001B3160"/>
    <w:rsid w:val="001C2791"/>
    <w:rsid w:val="001F1FC6"/>
    <w:rsid w:val="002059D1"/>
    <w:rsid w:val="00224BC2"/>
    <w:rsid w:val="002547BD"/>
    <w:rsid w:val="002714B7"/>
    <w:rsid w:val="002849CA"/>
    <w:rsid w:val="002851D0"/>
    <w:rsid w:val="0029196B"/>
    <w:rsid w:val="002A111E"/>
    <w:rsid w:val="002A2A75"/>
    <w:rsid w:val="002B3BFE"/>
    <w:rsid w:val="002C1444"/>
    <w:rsid w:val="002F7EAA"/>
    <w:rsid w:val="00330A9E"/>
    <w:rsid w:val="003348B4"/>
    <w:rsid w:val="003565C4"/>
    <w:rsid w:val="00373BF3"/>
    <w:rsid w:val="00384669"/>
    <w:rsid w:val="00385CBB"/>
    <w:rsid w:val="003A3657"/>
    <w:rsid w:val="003B69D2"/>
    <w:rsid w:val="003E2AA8"/>
    <w:rsid w:val="003E46B0"/>
    <w:rsid w:val="003E78CC"/>
    <w:rsid w:val="003F7492"/>
    <w:rsid w:val="0040042D"/>
    <w:rsid w:val="004203F9"/>
    <w:rsid w:val="004273B1"/>
    <w:rsid w:val="004353B1"/>
    <w:rsid w:val="00445363"/>
    <w:rsid w:val="0045473B"/>
    <w:rsid w:val="00462F3E"/>
    <w:rsid w:val="00470CA9"/>
    <w:rsid w:val="004875B7"/>
    <w:rsid w:val="004B502E"/>
    <w:rsid w:val="004D5007"/>
    <w:rsid w:val="004F2B97"/>
    <w:rsid w:val="00521539"/>
    <w:rsid w:val="00542554"/>
    <w:rsid w:val="00544D04"/>
    <w:rsid w:val="0055110A"/>
    <w:rsid w:val="0055426F"/>
    <w:rsid w:val="0057396D"/>
    <w:rsid w:val="005A4F33"/>
    <w:rsid w:val="005A4F46"/>
    <w:rsid w:val="005A7461"/>
    <w:rsid w:val="005C0388"/>
    <w:rsid w:val="005C7DED"/>
    <w:rsid w:val="006105E4"/>
    <w:rsid w:val="00631119"/>
    <w:rsid w:val="00650EE9"/>
    <w:rsid w:val="00664459"/>
    <w:rsid w:val="00676F42"/>
    <w:rsid w:val="006A4A17"/>
    <w:rsid w:val="006A68EA"/>
    <w:rsid w:val="006B0C59"/>
    <w:rsid w:val="00754F8C"/>
    <w:rsid w:val="00763999"/>
    <w:rsid w:val="007678C8"/>
    <w:rsid w:val="007706D4"/>
    <w:rsid w:val="007A06A0"/>
    <w:rsid w:val="007A12B8"/>
    <w:rsid w:val="007A5664"/>
    <w:rsid w:val="007B041F"/>
    <w:rsid w:val="007B6CFB"/>
    <w:rsid w:val="007C2A0A"/>
    <w:rsid w:val="007E5E27"/>
    <w:rsid w:val="007F2CFA"/>
    <w:rsid w:val="008262FD"/>
    <w:rsid w:val="008639B7"/>
    <w:rsid w:val="00867D01"/>
    <w:rsid w:val="00876AC9"/>
    <w:rsid w:val="008D247B"/>
    <w:rsid w:val="00914192"/>
    <w:rsid w:val="00953389"/>
    <w:rsid w:val="009750F9"/>
    <w:rsid w:val="009822A2"/>
    <w:rsid w:val="00997765"/>
    <w:rsid w:val="009B1A87"/>
    <w:rsid w:val="009B2223"/>
    <w:rsid w:val="009F050C"/>
    <w:rsid w:val="009F5064"/>
    <w:rsid w:val="00A32B0A"/>
    <w:rsid w:val="00A459BC"/>
    <w:rsid w:val="00A528B0"/>
    <w:rsid w:val="00A539D9"/>
    <w:rsid w:val="00A5689F"/>
    <w:rsid w:val="00A61F90"/>
    <w:rsid w:val="00A8767F"/>
    <w:rsid w:val="00A931EA"/>
    <w:rsid w:val="00AC136C"/>
    <w:rsid w:val="00AC2D3C"/>
    <w:rsid w:val="00B16F13"/>
    <w:rsid w:val="00B21973"/>
    <w:rsid w:val="00B2396E"/>
    <w:rsid w:val="00B329EC"/>
    <w:rsid w:val="00B55527"/>
    <w:rsid w:val="00B565EF"/>
    <w:rsid w:val="00B5695C"/>
    <w:rsid w:val="00BC1566"/>
    <w:rsid w:val="00BE5525"/>
    <w:rsid w:val="00BE65C7"/>
    <w:rsid w:val="00BE6F8A"/>
    <w:rsid w:val="00C007E0"/>
    <w:rsid w:val="00C06791"/>
    <w:rsid w:val="00C24CAF"/>
    <w:rsid w:val="00C27618"/>
    <w:rsid w:val="00C34681"/>
    <w:rsid w:val="00C400F1"/>
    <w:rsid w:val="00C42473"/>
    <w:rsid w:val="00C624CF"/>
    <w:rsid w:val="00C81459"/>
    <w:rsid w:val="00C96C87"/>
    <w:rsid w:val="00CC1575"/>
    <w:rsid w:val="00CC1C11"/>
    <w:rsid w:val="00CD7E2B"/>
    <w:rsid w:val="00CF1E0F"/>
    <w:rsid w:val="00D042EC"/>
    <w:rsid w:val="00D3617E"/>
    <w:rsid w:val="00D42602"/>
    <w:rsid w:val="00D4288A"/>
    <w:rsid w:val="00D56B4F"/>
    <w:rsid w:val="00DA3CF6"/>
    <w:rsid w:val="00DA784D"/>
    <w:rsid w:val="00DB1C23"/>
    <w:rsid w:val="00DC4DF1"/>
    <w:rsid w:val="00DC64D3"/>
    <w:rsid w:val="00DD4432"/>
    <w:rsid w:val="00DE6DD0"/>
    <w:rsid w:val="00E118C4"/>
    <w:rsid w:val="00E6391D"/>
    <w:rsid w:val="00E863C1"/>
    <w:rsid w:val="00E92BCB"/>
    <w:rsid w:val="00E96FB9"/>
    <w:rsid w:val="00E9706E"/>
    <w:rsid w:val="00ED4FAB"/>
    <w:rsid w:val="00EF6E28"/>
    <w:rsid w:val="00F00B06"/>
    <w:rsid w:val="00F27EED"/>
    <w:rsid w:val="00F41AB8"/>
    <w:rsid w:val="00F608E0"/>
    <w:rsid w:val="00F71C88"/>
    <w:rsid w:val="00F766A9"/>
    <w:rsid w:val="00FA08B1"/>
    <w:rsid w:val="00FB6D1E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C4"/>
    <w:rPr>
      <w:rFonts w:ascii="Verdana" w:hAnsi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2919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400F1"/>
    <w:rPr>
      <w:rFonts w:cs="Times New Roman"/>
      <w:sz w:val="2"/>
    </w:rPr>
  </w:style>
  <w:style w:type="paragraph" w:styleId="Fodnotetekst">
    <w:name w:val="footnote text"/>
    <w:basedOn w:val="Normal"/>
    <w:link w:val="FodnotetekstTegn"/>
    <w:uiPriority w:val="99"/>
    <w:semiHidden/>
    <w:rsid w:val="00C007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C400F1"/>
    <w:rPr>
      <w:rFonts w:ascii="Verdana" w:hAnsi="Verdana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C007E0"/>
    <w:rPr>
      <w:rFonts w:cs="Times New Roman"/>
      <w:vertAlign w:val="superscript"/>
    </w:rPr>
  </w:style>
  <w:style w:type="paragraph" w:styleId="Listeafsnit">
    <w:name w:val="List Paragraph"/>
    <w:basedOn w:val="Normal"/>
    <w:uiPriority w:val="99"/>
    <w:qFormat/>
    <w:rsid w:val="0066445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462F3E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AC2D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AC2D3C"/>
    <w:rPr>
      <w:rFonts w:ascii="Verdana" w:hAnsi="Verdana" w:cs="Times New Roman"/>
      <w:sz w:val="18"/>
      <w:szCs w:val="18"/>
    </w:rPr>
  </w:style>
  <w:style w:type="paragraph" w:styleId="Sidefod">
    <w:name w:val="footer"/>
    <w:basedOn w:val="Normal"/>
    <w:link w:val="SidefodTegn"/>
    <w:uiPriority w:val="99"/>
    <w:rsid w:val="00AC2D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AC2D3C"/>
    <w:rPr>
      <w:rFonts w:ascii="Verdana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C4"/>
    <w:rPr>
      <w:rFonts w:ascii="Verdana" w:hAnsi="Verdana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29196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400F1"/>
    <w:rPr>
      <w:rFonts w:cs="Times New Roman"/>
      <w:sz w:val="2"/>
    </w:rPr>
  </w:style>
  <w:style w:type="paragraph" w:styleId="Fodnotetekst">
    <w:name w:val="footnote text"/>
    <w:basedOn w:val="Normal"/>
    <w:link w:val="FodnotetekstTegn"/>
    <w:uiPriority w:val="99"/>
    <w:semiHidden/>
    <w:rsid w:val="00C007E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C400F1"/>
    <w:rPr>
      <w:rFonts w:ascii="Verdana" w:hAnsi="Verdana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C007E0"/>
    <w:rPr>
      <w:rFonts w:cs="Times New Roman"/>
      <w:vertAlign w:val="superscript"/>
    </w:rPr>
  </w:style>
  <w:style w:type="paragraph" w:styleId="Listeafsnit">
    <w:name w:val="List Paragraph"/>
    <w:basedOn w:val="Normal"/>
    <w:uiPriority w:val="99"/>
    <w:qFormat/>
    <w:rsid w:val="0066445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462F3E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AC2D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AC2D3C"/>
    <w:rPr>
      <w:rFonts w:ascii="Verdana" w:hAnsi="Verdana" w:cs="Times New Roman"/>
      <w:sz w:val="18"/>
      <w:szCs w:val="18"/>
    </w:rPr>
  </w:style>
  <w:style w:type="paragraph" w:styleId="Sidefod">
    <w:name w:val="footer"/>
    <w:basedOn w:val="Normal"/>
    <w:link w:val="SidefodTegn"/>
    <w:uiPriority w:val="99"/>
    <w:rsid w:val="00AC2D3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AC2D3C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Netneutralitet: Samarbejde og adfærdskodeks /retningslinjer</vt:lpstr>
    </vt:vector>
  </TitlesOfParts>
  <Company>TDC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Netneutralitet: Samarbejde og adfærdskodeks /retningslinjer</dc:title>
  <dc:creator>Anders Panum Jensen</dc:creator>
  <cp:lastModifiedBy>Telekommunikationsindustrien I Danmark</cp:lastModifiedBy>
  <cp:revision>2</cp:revision>
  <cp:lastPrinted>2011-10-07T09:00:00Z</cp:lastPrinted>
  <dcterms:created xsi:type="dcterms:W3CDTF">2012-05-21T11:40:00Z</dcterms:created>
  <dcterms:modified xsi:type="dcterms:W3CDTF">2012-05-21T11:40:00Z</dcterms:modified>
</cp:coreProperties>
</file>