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B7" w:rsidRPr="00D27FF1" w:rsidRDefault="00D229AC" w:rsidP="00F86EB9">
      <w:pPr>
        <w:pStyle w:val="Dato"/>
        <w:framePr w:w="2044" w:wrap="around" w:x="9800" w:y="3605"/>
        <w:rPr>
          <w:rFonts w:ascii="Times New Roman" w:hAnsi="Times New Roman"/>
          <w:sz w:val="24"/>
          <w:szCs w:val="24"/>
        </w:rPr>
      </w:pPr>
      <w:r>
        <w:rPr>
          <w:rFonts w:ascii="Times New Roman" w:hAnsi="Times New Roman"/>
          <w:noProof/>
          <w:sz w:val="24"/>
          <w:szCs w:val="24"/>
        </w:rPr>
        <w:t>2</w:t>
      </w:r>
      <w:r w:rsidR="00C44DE8">
        <w:rPr>
          <w:rFonts w:ascii="Times New Roman" w:hAnsi="Times New Roman"/>
          <w:noProof/>
          <w:sz w:val="24"/>
          <w:szCs w:val="24"/>
        </w:rPr>
        <w:t>5</w:t>
      </w:r>
      <w:r w:rsidR="00837FEF">
        <w:rPr>
          <w:rFonts w:ascii="Times New Roman" w:hAnsi="Times New Roman"/>
          <w:noProof/>
          <w:sz w:val="24"/>
          <w:szCs w:val="24"/>
        </w:rPr>
        <w:t>.</w:t>
      </w:r>
      <w:r w:rsidR="00165EAE" w:rsidRPr="00D27FF1">
        <w:rPr>
          <w:rFonts w:ascii="Times New Roman" w:hAnsi="Times New Roman"/>
          <w:noProof/>
          <w:sz w:val="24"/>
          <w:szCs w:val="24"/>
        </w:rPr>
        <w:t xml:space="preserve"> </w:t>
      </w:r>
      <w:r w:rsidR="00837FEF">
        <w:rPr>
          <w:rFonts w:ascii="Times New Roman" w:hAnsi="Times New Roman"/>
          <w:noProof/>
          <w:sz w:val="24"/>
          <w:szCs w:val="24"/>
        </w:rPr>
        <w:t>marts 2011</w:t>
      </w:r>
    </w:p>
    <w:p w:rsidR="008A1CB6" w:rsidRPr="00D229AC" w:rsidRDefault="008A1CB6" w:rsidP="008A1CB6">
      <w:pPr>
        <w:rPr>
          <w:rFonts w:ascii="Times New Roman" w:hAnsi="Times New Roman"/>
          <w:sz w:val="24"/>
          <w:szCs w:val="24"/>
        </w:rPr>
      </w:pPr>
      <w:bookmarkStart w:id="0" w:name="Initialer"/>
      <w:bookmarkStart w:id="1" w:name="Navn"/>
      <w:bookmarkStart w:id="2" w:name="Start"/>
      <w:bookmarkEnd w:id="0"/>
      <w:bookmarkEnd w:id="1"/>
      <w:bookmarkEnd w:id="2"/>
      <w:r w:rsidRPr="00D229AC">
        <w:rPr>
          <w:rFonts w:ascii="Times New Roman" w:hAnsi="Times New Roman"/>
          <w:sz w:val="24"/>
          <w:szCs w:val="24"/>
        </w:rPr>
        <w:t>Ministeriet for Videnskab Teknologi og Udvikling</w:t>
      </w:r>
    </w:p>
    <w:p w:rsidR="008A1CB6" w:rsidRPr="00D229AC" w:rsidRDefault="008A1CB6" w:rsidP="008A1CB6">
      <w:pPr>
        <w:rPr>
          <w:rFonts w:ascii="Times New Roman" w:hAnsi="Times New Roman"/>
          <w:sz w:val="24"/>
          <w:szCs w:val="24"/>
        </w:rPr>
      </w:pPr>
      <w:r w:rsidRPr="00D229AC">
        <w:rPr>
          <w:rFonts w:ascii="Times New Roman" w:hAnsi="Times New Roman"/>
          <w:sz w:val="24"/>
          <w:szCs w:val="24"/>
        </w:rPr>
        <w:t xml:space="preserve">v/ IT- og Telestyrelsen </w:t>
      </w:r>
    </w:p>
    <w:p w:rsidR="008A1CB6" w:rsidRPr="00D229AC" w:rsidRDefault="008A1CB6" w:rsidP="008A1CB6">
      <w:pPr>
        <w:rPr>
          <w:rFonts w:ascii="Times New Roman" w:hAnsi="Times New Roman"/>
          <w:sz w:val="24"/>
          <w:szCs w:val="24"/>
        </w:rPr>
      </w:pPr>
      <w:r w:rsidRPr="00D229AC">
        <w:rPr>
          <w:rFonts w:ascii="Times New Roman" w:hAnsi="Times New Roman"/>
          <w:sz w:val="24"/>
          <w:szCs w:val="24"/>
        </w:rPr>
        <w:t>Holsteinsgade 63</w:t>
      </w:r>
    </w:p>
    <w:p w:rsidR="008A1CB6" w:rsidRPr="00D229AC" w:rsidRDefault="008A1CB6" w:rsidP="008A1CB6">
      <w:pPr>
        <w:rPr>
          <w:rFonts w:ascii="Times New Roman" w:hAnsi="Times New Roman"/>
          <w:sz w:val="24"/>
          <w:szCs w:val="24"/>
        </w:rPr>
      </w:pPr>
      <w:r w:rsidRPr="00D229AC">
        <w:rPr>
          <w:rFonts w:ascii="Times New Roman" w:hAnsi="Times New Roman"/>
          <w:sz w:val="24"/>
          <w:szCs w:val="24"/>
        </w:rPr>
        <w:t>2100 København Ø</w:t>
      </w:r>
    </w:p>
    <w:p w:rsidR="00F470D8" w:rsidRPr="008A1CB6" w:rsidRDefault="00F470D8" w:rsidP="008A1CB6">
      <w:pPr>
        <w:rPr>
          <w:b/>
          <w:sz w:val="28"/>
          <w:szCs w:val="28"/>
        </w:rPr>
      </w:pPr>
    </w:p>
    <w:p w:rsidR="00F470D8" w:rsidRDefault="00F470D8" w:rsidP="002B2043">
      <w:pPr>
        <w:rPr>
          <w:b/>
          <w:sz w:val="28"/>
          <w:szCs w:val="28"/>
        </w:rPr>
      </w:pPr>
    </w:p>
    <w:p w:rsidR="00F470D8" w:rsidRDefault="00F470D8" w:rsidP="002B2043">
      <w:pPr>
        <w:rPr>
          <w:b/>
          <w:sz w:val="28"/>
          <w:szCs w:val="28"/>
        </w:rPr>
      </w:pPr>
    </w:p>
    <w:p w:rsidR="00F470D8" w:rsidRDefault="00F470D8" w:rsidP="002B2043">
      <w:pPr>
        <w:rPr>
          <w:b/>
          <w:sz w:val="28"/>
          <w:szCs w:val="28"/>
        </w:rPr>
      </w:pPr>
    </w:p>
    <w:p w:rsidR="00F470D8" w:rsidRDefault="00F470D8" w:rsidP="002B2043">
      <w:pPr>
        <w:rPr>
          <w:i/>
          <w:sz w:val="22"/>
          <w:szCs w:val="22"/>
        </w:rPr>
      </w:pPr>
    </w:p>
    <w:p w:rsidR="005E6E1A" w:rsidRPr="002A684A" w:rsidRDefault="005E6E1A" w:rsidP="002B2043">
      <w:pPr>
        <w:rPr>
          <w:i/>
          <w:sz w:val="22"/>
          <w:szCs w:val="22"/>
        </w:rPr>
      </w:pPr>
    </w:p>
    <w:p w:rsidR="00165EAE" w:rsidRPr="005E6E1A" w:rsidRDefault="00AC43E1" w:rsidP="00D229AC">
      <w:pPr>
        <w:autoSpaceDE w:val="0"/>
        <w:autoSpaceDN w:val="0"/>
        <w:adjustRightInd w:val="0"/>
        <w:rPr>
          <w:rFonts w:ascii="Arial" w:hAnsi="Arial" w:cs="Arial"/>
          <w:b/>
          <w:sz w:val="24"/>
          <w:szCs w:val="24"/>
        </w:rPr>
      </w:pPr>
      <w:r w:rsidRPr="005E6E1A">
        <w:rPr>
          <w:rFonts w:ascii="Arial" w:hAnsi="Arial" w:cs="Arial"/>
          <w:b/>
          <w:sz w:val="24"/>
          <w:szCs w:val="24"/>
        </w:rPr>
        <w:t xml:space="preserve">Høring om udkast til </w:t>
      </w:r>
      <w:r w:rsidR="00837FEF" w:rsidRPr="005E6E1A">
        <w:rPr>
          <w:rFonts w:ascii="Arial" w:hAnsi="Arial" w:cs="Arial"/>
          <w:b/>
          <w:sz w:val="24"/>
          <w:szCs w:val="24"/>
        </w:rPr>
        <w:t>Bekendtgørelse om rammerne for informationssikkerhed</w:t>
      </w:r>
      <w:r w:rsidR="002A684A" w:rsidRPr="005E6E1A">
        <w:rPr>
          <w:rFonts w:ascii="Arial" w:hAnsi="Arial" w:cs="Arial"/>
          <w:b/>
          <w:sz w:val="24"/>
          <w:szCs w:val="24"/>
        </w:rPr>
        <w:t xml:space="preserve"> samt </w:t>
      </w:r>
      <w:r w:rsidR="00837FEF" w:rsidRPr="005E6E1A">
        <w:rPr>
          <w:rFonts w:ascii="Arial" w:hAnsi="Arial" w:cs="Arial"/>
          <w:b/>
          <w:sz w:val="24"/>
          <w:szCs w:val="24"/>
        </w:rPr>
        <w:t xml:space="preserve">om udkast </w:t>
      </w:r>
      <w:r w:rsidR="00F7071F" w:rsidRPr="005E6E1A">
        <w:rPr>
          <w:rFonts w:ascii="Arial" w:hAnsi="Arial" w:cs="Arial"/>
          <w:b/>
          <w:sz w:val="24"/>
          <w:szCs w:val="24"/>
        </w:rPr>
        <w:t xml:space="preserve">til </w:t>
      </w:r>
      <w:r w:rsidR="00837FEF" w:rsidRPr="005E6E1A">
        <w:rPr>
          <w:rFonts w:ascii="Arial" w:hAnsi="Arial" w:cs="Arial"/>
          <w:b/>
          <w:sz w:val="24"/>
          <w:szCs w:val="24"/>
        </w:rPr>
        <w:t>Bekendtgørelse om informationssikkerhed og beredskab for elektroniske</w:t>
      </w:r>
      <w:r w:rsidR="00D229AC" w:rsidRPr="005E6E1A">
        <w:rPr>
          <w:rFonts w:ascii="Arial" w:hAnsi="Arial" w:cs="Arial"/>
          <w:b/>
          <w:sz w:val="24"/>
          <w:szCs w:val="24"/>
        </w:rPr>
        <w:t xml:space="preserve"> </w:t>
      </w:r>
      <w:r w:rsidR="00837FEF" w:rsidRPr="005E6E1A">
        <w:rPr>
          <w:rFonts w:ascii="Arial" w:hAnsi="Arial" w:cs="Arial"/>
          <w:b/>
          <w:sz w:val="24"/>
          <w:szCs w:val="24"/>
        </w:rPr>
        <w:t>kommunikationsnet og -tjenester</w:t>
      </w:r>
    </w:p>
    <w:p w:rsidR="002B2043" w:rsidRPr="00D229AC" w:rsidRDefault="002B2043" w:rsidP="002B2043">
      <w:pPr>
        <w:pStyle w:val="Overskrift1"/>
        <w:ind w:right="-256"/>
        <w:rPr>
          <w:rFonts w:ascii="Times New Roman" w:hAnsi="Times New Roman"/>
          <w:b w:val="0"/>
          <w:szCs w:val="24"/>
        </w:rPr>
      </w:pPr>
    </w:p>
    <w:p w:rsidR="003A0150" w:rsidRPr="00D229AC" w:rsidRDefault="003A0150" w:rsidP="00837FEF">
      <w:pPr>
        <w:autoSpaceDE w:val="0"/>
        <w:autoSpaceDN w:val="0"/>
        <w:adjustRightInd w:val="0"/>
        <w:rPr>
          <w:rFonts w:ascii="Times New Roman" w:hAnsi="Times New Roman"/>
          <w:i/>
          <w:sz w:val="24"/>
          <w:szCs w:val="24"/>
        </w:rPr>
      </w:pPr>
      <w:r w:rsidRPr="00D229AC">
        <w:rPr>
          <w:rFonts w:ascii="Times New Roman" w:hAnsi="Times New Roman"/>
          <w:sz w:val="24"/>
          <w:szCs w:val="24"/>
        </w:rPr>
        <w:t xml:space="preserve">Telekommunikationsindustrien </w:t>
      </w:r>
      <w:r w:rsidR="00F470D8" w:rsidRPr="00D229AC">
        <w:rPr>
          <w:rFonts w:ascii="Times New Roman" w:hAnsi="Times New Roman"/>
          <w:sz w:val="24"/>
          <w:szCs w:val="24"/>
        </w:rPr>
        <w:t xml:space="preserve">(TI) </w:t>
      </w:r>
      <w:r w:rsidRPr="00D229AC">
        <w:rPr>
          <w:rFonts w:ascii="Times New Roman" w:hAnsi="Times New Roman"/>
          <w:sz w:val="24"/>
          <w:szCs w:val="24"/>
        </w:rPr>
        <w:t>skal hermed afgive bemær</w:t>
      </w:r>
      <w:r w:rsidR="0098473E" w:rsidRPr="00D229AC">
        <w:rPr>
          <w:rFonts w:ascii="Times New Roman" w:hAnsi="Times New Roman"/>
          <w:sz w:val="24"/>
          <w:szCs w:val="24"/>
        </w:rPr>
        <w:t>k</w:t>
      </w:r>
      <w:r w:rsidRPr="00D229AC">
        <w:rPr>
          <w:rFonts w:ascii="Times New Roman" w:hAnsi="Times New Roman"/>
          <w:sz w:val="24"/>
          <w:szCs w:val="24"/>
        </w:rPr>
        <w:t>ninger til</w:t>
      </w:r>
      <w:r w:rsidR="00F470D8" w:rsidRPr="00D229AC">
        <w:rPr>
          <w:rFonts w:ascii="Times New Roman" w:hAnsi="Times New Roman"/>
          <w:sz w:val="24"/>
          <w:szCs w:val="24"/>
        </w:rPr>
        <w:t xml:space="preserve"> udkast</w:t>
      </w:r>
      <w:r w:rsidR="00837FEF" w:rsidRPr="00D229AC">
        <w:rPr>
          <w:rFonts w:ascii="Times New Roman" w:hAnsi="Times New Roman"/>
          <w:sz w:val="24"/>
          <w:szCs w:val="24"/>
        </w:rPr>
        <w:t xml:space="preserve"> til </w:t>
      </w:r>
      <w:r w:rsidR="002A684A" w:rsidRPr="00D229AC">
        <w:rPr>
          <w:rFonts w:ascii="Times New Roman" w:hAnsi="Times New Roman"/>
          <w:i/>
          <w:sz w:val="24"/>
          <w:szCs w:val="24"/>
        </w:rPr>
        <w:t>Bekendtgørelse om rammerne for informationssikkerhed (Rammebekendtgørelse)</w:t>
      </w:r>
      <w:r w:rsidR="002A684A" w:rsidRPr="00D229AC">
        <w:rPr>
          <w:rFonts w:ascii="Times New Roman" w:hAnsi="Times New Roman"/>
          <w:sz w:val="24"/>
          <w:szCs w:val="24"/>
        </w:rPr>
        <w:t xml:space="preserve"> samt om udkast til </w:t>
      </w:r>
      <w:r w:rsidR="00837FEF" w:rsidRPr="00D229AC">
        <w:rPr>
          <w:rFonts w:ascii="Times New Roman" w:hAnsi="Times New Roman"/>
          <w:i/>
          <w:sz w:val="24"/>
          <w:szCs w:val="24"/>
        </w:rPr>
        <w:t xml:space="preserve">Bekendtgørelse om informationssikkerhed og beredskab for elektroniske kommunikationsnet og </w:t>
      </w:r>
      <w:proofErr w:type="gramStart"/>
      <w:r w:rsidR="00837FEF" w:rsidRPr="00D229AC">
        <w:rPr>
          <w:rFonts w:ascii="Times New Roman" w:hAnsi="Times New Roman"/>
          <w:i/>
          <w:sz w:val="24"/>
          <w:szCs w:val="24"/>
        </w:rPr>
        <w:t>–tjenester</w:t>
      </w:r>
      <w:proofErr w:type="gramEnd"/>
      <w:r w:rsidR="00837FEF" w:rsidRPr="00D229AC">
        <w:rPr>
          <w:rFonts w:ascii="Times New Roman" w:hAnsi="Times New Roman"/>
          <w:i/>
          <w:sz w:val="24"/>
          <w:szCs w:val="24"/>
        </w:rPr>
        <w:t xml:space="preserve"> </w:t>
      </w:r>
      <w:r w:rsidR="00837FEF" w:rsidRPr="00D229AC">
        <w:rPr>
          <w:rFonts w:ascii="Times New Roman" w:hAnsi="Times New Roman"/>
          <w:sz w:val="24"/>
          <w:szCs w:val="24"/>
        </w:rPr>
        <w:t xml:space="preserve"> (</w:t>
      </w:r>
      <w:proofErr w:type="spellStart"/>
      <w:r w:rsidR="00837FEF" w:rsidRPr="00D229AC">
        <w:rPr>
          <w:rFonts w:ascii="Times New Roman" w:hAnsi="Times New Roman"/>
          <w:i/>
          <w:sz w:val="24"/>
          <w:szCs w:val="24"/>
        </w:rPr>
        <w:t>Netbekendtgørelse</w:t>
      </w:r>
      <w:proofErr w:type="spellEnd"/>
      <w:r w:rsidR="00837FEF" w:rsidRPr="00D229AC">
        <w:rPr>
          <w:rFonts w:ascii="Times New Roman" w:hAnsi="Times New Roman"/>
          <w:sz w:val="24"/>
          <w:szCs w:val="24"/>
        </w:rPr>
        <w:t>)</w:t>
      </w:r>
      <w:r w:rsidR="002A684A" w:rsidRPr="00D229AC">
        <w:rPr>
          <w:rFonts w:ascii="Times New Roman" w:hAnsi="Times New Roman"/>
          <w:sz w:val="24"/>
          <w:szCs w:val="24"/>
        </w:rPr>
        <w:t xml:space="preserve"> </w:t>
      </w:r>
    </w:p>
    <w:p w:rsidR="003A0150" w:rsidRPr="00D229AC" w:rsidRDefault="003A0150" w:rsidP="003A0150">
      <w:pPr>
        <w:autoSpaceDE w:val="0"/>
        <w:autoSpaceDN w:val="0"/>
        <w:adjustRightInd w:val="0"/>
        <w:rPr>
          <w:rFonts w:ascii="Times New Roman" w:hAnsi="Times New Roman"/>
          <w:sz w:val="24"/>
          <w:szCs w:val="24"/>
        </w:rPr>
      </w:pPr>
    </w:p>
    <w:p w:rsidR="003A0150" w:rsidRPr="00A8685D" w:rsidRDefault="004858C3" w:rsidP="004858C3">
      <w:pPr>
        <w:pStyle w:val="Listeafsnit"/>
        <w:numPr>
          <w:ilvl w:val="0"/>
          <w:numId w:val="29"/>
        </w:numPr>
        <w:rPr>
          <w:rFonts w:ascii="Times New Roman" w:hAnsi="Times New Roman"/>
          <w:b/>
          <w:sz w:val="24"/>
          <w:szCs w:val="24"/>
        </w:rPr>
      </w:pPr>
      <w:r w:rsidRPr="00A8685D">
        <w:rPr>
          <w:rFonts w:ascii="Times New Roman" w:hAnsi="Times New Roman"/>
          <w:b/>
          <w:sz w:val="24"/>
          <w:szCs w:val="24"/>
        </w:rPr>
        <w:t>Indledning</w:t>
      </w:r>
    </w:p>
    <w:p w:rsidR="00F7071F" w:rsidRPr="00A8685D" w:rsidRDefault="00AC43E1" w:rsidP="00AC43E1">
      <w:pPr>
        <w:rPr>
          <w:rFonts w:ascii="Times New Roman" w:hAnsi="Times New Roman"/>
          <w:sz w:val="24"/>
          <w:szCs w:val="24"/>
        </w:rPr>
      </w:pPr>
      <w:r w:rsidRPr="00A8685D">
        <w:rPr>
          <w:rFonts w:ascii="Times New Roman" w:hAnsi="Times New Roman"/>
          <w:sz w:val="24"/>
          <w:szCs w:val="24"/>
        </w:rPr>
        <w:t>Telekommunikationsindustrien s</w:t>
      </w:r>
      <w:r w:rsidR="00723E17" w:rsidRPr="00A8685D">
        <w:rPr>
          <w:rFonts w:ascii="Times New Roman" w:hAnsi="Times New Roman"/>
          <w:sz w:val="24"/>
          <w:szCs w:val="24"/>
        </w:rPr>
        <w:t>k</w:t>
      </w:r>
      <w:r w:rsidRPr="00A8685D">
        <w:rPr>
          <w:rFonts w:ascii="Times New Roman" w:hAnsi="Times New Roman"/>
          <w:sz w:val="24"/>
          <w:szCs w:val="24"/>
        </w:rPr>
        <w:t xml:space="preserve">al hermed </w:t>
      </w:r>
      <w:r w:rsidR="00F7071F" w:rsidRPr="00A8685D">
        <w:rPr>
          <w:rFonts w:ascii="Times New Roman" w:hAnsi="Times New Roman"/>
          <w:sz w:val="24"/>
          <w:szCs w:val="24"/>
        </w:rPr>
        <w:t xml:space="preserve">på vegne af medlemmerne komme med følgende </w:t>
      </w:r>
      <w:r w:rsidRPr="00A8685D">
        <w:rPr>
          <w:rFonts w:ascii="Times New Roman" w:hAnsi="Times New Roman"/>
          <w:sz w:val="24"/>
          <w:szCs w:val="24"/>
        </w:rPr>
        <w:t xml:space="preserve">bemærkninger til </w:t>
      </w:r>
      <w:r w:rsidR="00F7071F" w:rsidRPr="00A8685D">
        <w:rPr>
          <w:rFonts w:ascii="Times New Roman" w:hAnsi="Times New Roman"/>
          <w:sz w:val="24"/>
          <w:szCs w:val="24"/>
        </w:rPr>
        <w:t>bekendtgørelsesudkastene</w:t>
      </w:r>
      <w:r w:rsidR="004858C3" w:rsidRPr="00A8685D">
        <w:rPr>
          <w:rFonts w:ascii="Times New Roman" w:hAnsi="Times New Roman"/>
          <w:sz w:val="24"/>
          <w:szCs w:val="24"/>
        </w:rPr>
        <w:t>. Bemærkningerne er bl.a. baseret på TI medlemmernes deltagelse i IT- og Telestyrelsen Workshops vedr. implementering af EU-regler om informationssikkerhed</w:t>
      </w:r>
      <w:r w:rsidR="00D229AC" w:rsidRPr="00A8685D">
        <w:rPr>
          <w:rFonts w:ascii="Times New Roman" w:hAnsi="Times New Roman"/>
          <w:sz w:val="24"/>
          <w:szCs w:val="24"/>
        </w:rPr>
        <w:t>.</w:t>
      </w:r>
    </w:p>
    <w:p w:rsidR="00D229AC" w:rsidRPr="00A8685D" w:rsidRDefault="00D229AC" w:rsidP="00AC43E1">
      <w:pPr>
        <w:rPr>
          <w:rFonts w:ascii="Times New Roman" w:hAnsi="Times New Roman"/>
          <w:sz w:val="24"/>
          <w:szCs w:val="24"/>
        </w:rPr>
      </w:pPr>
    </w:p>
    <w:p w:rsidR="006F11E8" w:rsidRPr="00A8685D" w:rsidRDefault="000D0466" w:rsidP="00AC43E1">
      <w:pPr>
        <w:rPr>
          <w:rFonts w:ascii="Times New Roman" w:hAnsi="Times New Roman"/>
          <w:sz w:val="24"/>
          <w:szCs w:val="24"/>
        </w:rPr>
      </w:pPr>
      <w:r w:rsidRPr="00A8685D">
        <w:rPr>
          <w:rFonts w:ascii="Times New Roman" w:hAnsi="Times New Roman"/>
          <w:sz w:val="24"/>
          <w:szCs w:val="24"/>
        </w:rPr>
        <w:t>TI skal generelt bemærke</w:t>
      </w:r>
      <w:r w:rsidR="006F11E8" w:rsidRPr="00A8685D">
        <w:rPr>
          <w:rFonts w:ascii="Times New Roman" w:hAnsi="Times New Roman"/>
          <w:sz w:val="24"/>
          <w:szCs w:val="24"/>
        </w:rPr>
        <w:t>,</w:t>
      </w:r>
      <w:r w:rsidRPr="00A8685D">
        <w:rPr>
          <w:rFonts w:ascii="Times New Roman" w:hAnsi="Times New Roman"/>
          <w:sz w:val="24"/>
          <w:szCs w:val="24"/>
        </w:rPr>
        <w:t xml:space="preserve"> at TI tilslutter sig</w:t>
      </w:r>
      <w:r w:rsidR="006F11E8" w:rsidRPr="00A8685D">
        <w:rPr>
          <w:rFonts w:ascii="Times New Roman" w:hAnsi="Times New Roman"/>
          <w:sz w:val="24"/>
          <w:szCs w:val="24"/>
        </w:rPr>
        <w:t>,</w:t>
      </w:r>
      <w:r w:rsidRPr="00A8685D">
        <w:rPr>
          <w:rFonts w:ascii="Times New Roman" w:hAnsi="Times New Roman"/>
          <w:sz w:val="24"/>
          <w:szCs w:val="24"/>
        </w:rPr>
        <w:t xml:space="preserve"> at der ikke fastlægges præcise grænser og kriterier for</w:t>
      </w:r>
      <w:r w:rsidR="004858C3" w:rsidRPr="00A8685D">
        <w:rPr>
          <w:rFonts w:ascii="Times New Roman" w:hAnsi="Times New Roman"/>
          <w:sz w:val="24"/>
          <w:szCs w:val="24"/>
        </w:rPr>
        <w:t xml:space="preserve"> de i udkast opregnede </w:t>
      </w:r>
      <w:r w:rsidRPr="00A8685D">
        <w:rPr>
          <w:rFonts w:ascii="Times New Roman" w:hAnsi="Times New Roman"/>
          <w:sz w:val="24"/>
          <w:szCs w:val="24"/>
        </w:rPr>
        <w:t xml:space="preserve">tiltag, idet TI </w:t>
      </w:r>
      <w:r w:rsidR="006F11E8" w:rsidRPr="00A8685D">
        <w:rPr>
          <w:rFonts w:ascii="Times New Roman" w:hAnsi="Times New Roman"/>
          <w:sz w:val="24"/>
          <w:szCs w:val="24"/>
        </w:rPr>
        <w:t>forstå bekendtgørelsesudkast således,</w:t>
      </w:r>
      <w:r w:rsidR="004858C3" w:rsidRPr="00A8685D">
        <w:rPr>
          <w:rFonts w:ascii="Times New Roman" w:hAnsi="Times New Roman"/>
          <w:sz w:val="24"/>
          <w:szCs w:val="24"/>
        </w:rPr>
        <w:t xml:space="preserve"> at alle tiltag bør fokusere</w:t>
      </w:r>
      <w:r w:rsidRPr="00A8685D">
        <w:rPr>
          <w:rFonts w:ascii="Times New Roman" w:hAnsi="Times New Roman"/>
          <w:sz w:val="24"/>
          <w:szCs w:val="24"/>
        </w:rPr>
        <w:t xml:space="preserve"> på sikring af basale funktioner på den samfundsøkonomiske mest optimale måde og bør være fokuseret på de essentielle elementer i net og tjen</w:t>
      </w:r>
      <w:r w:rsidR="00D229AC" w:rsidRPr="00A8685D">
        <w:rPr>
          <w:rFonts w:ascii="Times New Roman" w:hAnsi="Times New Roman"/>
          <w:sz w:val="24"/>
          <w:szCs w:val="24"/>
        </w:rPr>
        <w:t>e</w:t>
      </w:r>
      <w:r w:rsidRPr="00A8685D">
        <w:rPr>
          <w:rFonts w:ascii="Times New Roman" w:hAnsi="Times New Roman"/>
          <w:sz w:val="24"/>
          <w:szCs w:val="24"/>
        </w:rPr>
        <w:t xml:space="preserve">ster </w:t>
      </w:r>
      <w:r w:rsidR="00A75C80" w:rsidRPr="00A8685D">
        <w:rPr>
          <w:rFonts w:ascii="Times New Roman" w:hAnsi="Times New Roman"/>
          <w:sz w:val="24"/>
          <w:szCs w:val="24"/>
        </w:rPr>
        <w:t>jf. §</w:t>
      </w:r>
      <w:r w:rsidR="005E6E1A" w:rsidRPr="00A8685D">
        <w:rPr>
          <w:rFonts w:ascii="Times New Roman" w:hAnsi="Times New Roman"/>
          <w:sz w:val="24"/>
          <w:szCs w:val="24"/>
        </w:rPr>
        <w:t xml:space="preserve"> </w:t>
      </w:r>
      <w:r w:rsidR="00A75C80" w:rsidRPr="00A8685D">
        <w:rPr>
          <w:rFonts w:ascii="Times New Roman" w:hAnsi="Times New Roman"/>
          <w:sz w:val="24"/>
          <w:szCs w:val="24"/>
        </w:rPr>
        <w:t>9 stk. 1-2</w:t>
      </w:r>
      <w:r w:rsidR="00E8589C" w:rsidRPr="00A8685D">
        <w:rPr>
          <w:rFonts w:ascii="Times New Roman" w:hAnsi="Times New Roman"/>
          <w:sz w:val="24"/>
          <w:szCs w:val="24"/>
        </w:rPr>
        <w:t xml:space="preserve"> i </w:t>
      </w:r>
      <w:proofErr w:type="spellStart"/>
      <w:r w:rsidR="00E8589C" w:rsidRPr="00A8685D">
        <w:rPr>
          <w:rFonts w:ascii="Times New Roman" w:hAnsi="Times New Roman"/>
          <w:sz w:val="24"/>
          <w:szCs w:val="24"/>
        </w:rPr>
        <w:t>Netbekendtgørelse</w:t>
      </w:r>
      <w:proofErr w:type="spellEnd"/>
      <w:r w:rsidR="006F11E8" w:rsidRPr="00A8685D">
        <w:rPr>
          <w:rFonts w:ascii="Times New Roman" w:hAnsi="Times New Roman"/>
          <w:sz w:val="24"/>
          <w:szCs w:val="24"/>
        </w:rPr>
        <w:t xml:space="preserve"> og at en eventuel nærmere præcisering vil ske i samarbejde med teleindustrien. </w:t>
      </w:r>
    </w:p>
    <w:p w:rsidR="00D229AC" w:rsidRPr="00A8685D" w:rsidRDefault="00D229AC" w:rsidP="00AC43E1">
      <w:pPr>
        <w:rPr>
          <w:rFonts w:ascii="Times New Roman" w:hAnsi="Times New Roman"/>
          <w:sz w:val="24"/>
          <w:szCs w:val="24"/>
        </w:rPr>
      </w:pPr>
    </w:p>
    <w:p w:rsidR="00F7071F" w:rsidRPr="00A8685D" w:rsidRDefault="006F11E8" w:rsidP="00AC43E1">
      <w:pPr>
        <w:rPr>
          <w:rFonts w:ascii="Times New Roman" w:hAnsi="Times New Roman"/>
          <w:sz w:val="24"/>
          <w:szCs w:val="24"/>
        </w:rPr>
      </w:pPr>
      <w:r w:rsidRPr="00A8685D">
        <w:rPr>
          <w:rFonts w:ascii="Times New Roman" w:hAnsi="Times New Roman"/>
          <w:sz w:val="24"/>
          <w:szCs w:val="24"/>
        </w:rPr>
        <w:t>T</w:t>
      </w:r>
      <w:r w:rsidR="004858C3" w:rsidRPr="00A8685D">
        <w:rPr>
          <w:rFonts w:ascii="Times New Roman" w:hAnsi="Times New Roman"/>
          <w:sz w:val="24"/>
          <w:szCs w:val="24"/>
        </w:rPr>
        <w:t>I skal i øvrigt henlede IT- og T</w:t>
      </w:r>
      <w:r w:rsidRPr="00A8685D">
        <w:rPr>
          <w:rFonts w:ascii="Times New Roman" w:hAnsi="Times New Roman"/>
          <w:sz w:val="24"/>
          <w:szCs w:val="24"/>
        </w:rPr>
        <w:t>elestyrelsens opmærksomhed på</w:t>
      </w:r>
      <w:r w:rsidR="004858C3" w:rsidRPr="00A8685D">
        <w:rPr>
          <w:rFonts w:ascii="Times New Roman" w:hAnsi="Times New Roman"/>
          <w:sz w:val="24"/>
          <w:szCs w:val="24"/>
        </w:rPr>
        <w:t>,</w:t>
      </w:r>
      <w:r w:rsidRPr="00A8685D">
        <w:rPr>
          <w:rFonts w:ascii="Times New Roman" w:hAnsi="Times New Roman"/>
          <w:sz w:val="24"/>
          <w:szCs w:val="24"/>
        </w:rPr>
        <w:t xml:space="preserve"> at TI har etableret en arbejdsgruppe </w:t>
      </w:r>
      <w:r w:rsidR="004858C3" w:rsidRPr="00A8685D">
        <w:rPr>
          <w:rFonts w:ascii="Times New Roman" w:hAnsi="Times New Roman"/>
          <w:sz w:val="24"/>
          <w:szCs w:val="24"/>
        </w:rPr>
        <w:t xml:space="preserve">vedr. kritisk infrastruktur, </w:t>
      </w:r>
      <w:r w:rsidRPr="00A8685D">
        <w:rPr>
          <w:rFonts w:ascii="Times New Roman" w:hAnsi="Times New Roman"/>
          <w:sz w:val="24"/>
          <w:szCs w:val="24"/>
        </w:rPr>
        <w:t xml:space="preserve">der vil kunne fungerer som kontaktpunkt i så henseende.  </w:t>
      </w:r>
    </w:p>
    <w:p w:rsidR="00723E17" w:rsidRPr="00A8685D" w:rsidRDefault="00723E17" w:rsidP="00AC43E1">
      <w:pPr>
        <w:rPr>
          <w:rFonts w:ascii="Times New Roman" w:hAnsi="Times New Roman"/>
          <w:b/>
          <w:sz w:val="24"/>
          <w:szCs w:val="24"/>
        </w:rPr>
      </w:pPr>
    </w:p>
    <w:p w:rsidR="00723E17" w:rsidRPr="00A8685D" w:rsidRDefault="00837FEF" w:rsidP="00AC43E1">
      <w:pPr>
        <w:rPr>
          <w:rFonts w:ascii="Times New Roman" w:hAnsi="Times New Roman"/>
          <w:b/>
          <w:sz w:val="24"/>
          <w:szCs w:val="24"/>
        </w:rPr>
      </w:pPr>
      <w:r w:rsidRPr="00A8685D">
        <w:rPr>
          <w:rFonts w:ascii="Times New Roman" w:hAnsi="Times New Roman"/>
          <w:b/>
          <w:sz w:val="24"/>
          <w:szCs w:val="24"/>
        </w:rPr>
        <w:t xml:space="preserve">2. </w:t>
      </w:r>
      <w:r w:rsidR="004858C3" w:rsidRPr="00A8685D">
        <w:rPr>
          <w:rFonts w:ascii="Times New Roman" w:hAnsi="Times New Roman"/>
          <w:b/>
          <w:sz w:val="24"/>
          <w:szCs w:val="24"/>
        </w:rPr>
        <w:t xml:space="preserve">Bemærkninger vedr. udkast til </w:t>
      </w:r>
      <w:r w:rsidRPr="00A8685D">
        <w:rPr>
          <w:rFonts w:ascii="Times New Roman" w:hAnsi="Times New Roman"/>
          <w:b/>
          <w:sz w:val="24"/>
          <w:szCs w:val="24"/>
        </w:rPr>
        <w:t>Bekendtgørelse om rammerne for informationssikkerhed (Rammebekendtgørelse)</w:t>
      </w:r>
    </w:p>
    <w:p w:rsidR="00723E17" w:rsidRPr="00A8685D" w:rsidRDefault="00723E17" w:rsidP="00AC43E1">
      <w:pPr>
        <w:rPr>
          <w:rFonts w:ascii="Times New Roman" w:hAnsi="Times New Roman"/>
          <w:b/>
          <w:sz w:val="24"/>
          <w:szCs w:val="24"/>
        </w:rPr>
      </w:pPr>
    </w:p>
    <w:p w:rsidR="006F11E8" w:rsidRPr="00A8685D" w:rsidRDefault="006F11E8" w:rsidP="00AC43E1">
      <w:pPr>
        <w:rPr>
          <w:rFonts w:ascii="Times New Roman" w:hAnsi="Times New Roman"/>
          <w:sz w:val="24"/>
          <w:szCs w:val="24"/>
          <w:u w:val="single"/>
        </w:rPr>
      </w:pPr>
      <w:r w:rsidRPr="00A8685D">
        <w:rPr>
          <w:rFonts w:ascii="Times New Roman" w:hAnsi="Times New Roman"/>
          <w:sz w:val="24"/>
          <w:szCs w:val="24"/>
          <w:u w:val="single"/>
        </w:rPr>
        <w:t>Til § 2 stk</w:t>
      </w:r>
      <w:r w:rsidR="00303290" w:rsidRPr="00A8685D">
        <w:rPr>
          <w:rFonts w:ascii="Times New Roman" w:hAnsi="Times New Roman"/>
          <w:sz w:val="24"/>
          <w:szCs w:val="24"/>
          <w:u w:val="single"/>
        </w:rPr>
        <w:t>.</w:t>
      </w:r>
      <w:r w:rsidRPr="00A8685D">
        <w:rPr>
          <w:rFonts w:ascii="Times New Roman" w:hAnsi="Times New Roman"/>
          <w:sz w:val="24"/>
          <w:szCs w:val="24"/>
          <w:u w:val="single"/>
        </w:rPr>
        <w:t xml:space="preserve"> 1</w:t>
      </w:r>
      <w:r w:rsidR="00A75C80" w:rsidRPr="00A8685D">
        <w:rPr>
          <w:rFonts w:ascii="Times New Roman" w:hAnsi="Times New Roman"/>
          <w:sz w:val="24"/>
          <w:szCs w:val="24"/>
          <w:u w:val="single"/>
        </w:rPr>
        <w:t>, 1</w:t>
      </w:r>
      <w:r w:rsidRPr="00A8685D">
        <w:rPr>
          <w:rFonts w:ascii="Times New Roman" w:hAnsi="Times New Roman"/>
          <w:sz w:val="24"/>
          <w:szCs w:val="24"/>
          <w:u w:val="single"/>
        </w:rPr>
        <w:t xml:space="preserve"> litra c</w:t>
      </w:r>
    </w:p>
    <w:p w:rsidR="006F11E8" w:rsidRPr="00A8685D" w:rsidRDefault="006F11E8" w:rsidP="00AC43E1">
      <w:pPr>
        <w:rPr>
          <w:rFonts w:ascii="Times New Roman" w:hAnsi="Times New Roman"/>
          <w:sz w:val="24"/>
          <w:szCs w:val="24"/>
        </w:rPr>
      </w:pPr>
      <w:r w:rsidRPr="00A8685D">
        <w:rPr>
          <w:rFonts w:ascii="Times New Roman" w:hAnsi="Times New Roman"/>
          <w:sz w:val="24"/>
          <w:szCs w:val="24"/>
        </w:rPr>
        <w:t>Der henvises til bemærkning ved 'integritet' nedenfor</w:t>
      </w:r>
      <w:r w:rsidR="00C44DE8" w:rsidRPr="00A8685D">
        <w:rPr>
          <w:rFonts w:ascii="Times New Roman" w:hAnsi="Times New Roman"/>
          <w:sz w:val="24"/>
          <w:szCs w:val="24"/>
        </w:rPr>
        <w:t xml:space="preserve">. </w:t>
      </w:r>
    </w:p>
    <w:p w:rsidR="00C44DE8" w:rsidRPr="00A8685D" w:rsidRDefault="00C44DE8" w:rsidP="00AC43E1">
      <w:pPr>
        <w:rPr>
          <w:rFonts w:ascii="Times New Roman" w:hAnsi="Times New Roman"/>
          <w:sz w:val="24"/>
          <w:szCs w:val="24"/>
        </w:rPr>
      </w:pPr>
    </w:p>
    <w:p w:rsidR="00C44DE8" w:rsidRPr="00A8685D" w:rsidRDefault="00C44DE8" w:rsidP="00C44DE8">
      <w:pPr>
        <w:rPr>
          <w:rFonts w:ascii="Times New Roman" w:hAnsi="Times New Roman"/>
          <w:sz w:val="24"/>
          <w:szCs w:val="24"/>
        </w:rPr>
      </w:pPr>
      <w:r w:rsidRPr="00A8685D">
        <w:rPr>
          <w:rFonts w:ascii="Times New Roman" w:hAnsi="Times New Roman"/>
          <w:sz w:val="24"/>
          <w:szCs w:val="24"/>
          <w:u w:val="single"/>
        </w:rPr>
        <w:lastRenderedPageBreak/>
        <w:t>Til § 5 1) og § 7 stk. 3</w:t>
      </w:r>
      <w:r w:rsidRPr="00A8685D">
        <w:rPr>
          <w:rFonts w:ascii="Times New Roman" w:hAnsi="Times New Roman"/>
          <w:sz w:val="24"/>
          <w:szCs w:val="24"/>
        </w:rPr>
        <w:t xml:space="preserve"> </w:t>
      </w:r>
      <w:r w:rsidRPr="00A8685D">
        <w:rPr>
          <w:rFonts w:ascii="Times New Roman" w:hAnsi="Times New Roman"/>
          <w:sz w:val="24"/>
          <w:szCs w:val="24"/>
        </w:rPr>
        <w:br/>
        <w:t xml:space="preserve">Punktet skal være dækket af prioritetsordningen, og skal således KUN dække beredskabsaktører. </w:t>
      </w:r>
      <w:r w:rsidRPr="00A8685D">
        <w:rPr>
          <w:rFonts w:ascii="Times New Roman" w:hAnsi="Times New Roman"/>
          <w:sz w:val="24"/>
          <w:szCs w:val="24"/>
        </w:rPr>
        <w:br/>
        <w:t>Der er IKKE umiddelbar mulighed for at begrænse større mængder abonnenters adgang til hele eller dele af nettet</w:t>
      </w:r>
    </w:p>
    <w:p w:rsidR="00C44DE8" w:rsidRPr="00A8685D" w:rsidRDefault="00C44DE8" w:rsidP="00C44DE8">
      <w:pPr>
        <w:rPr>
          <w:rFonts w:ascii="Times New Roman" w:hAnsi="Times New Roman"/>
          <w:sz w:val="24"/>
          <w:szCs w:val="24"/>
        </w:rPr>
      </w:pPr>
    </w:p>
    <w:p w:rsidR="00C44DE8" w:rsidRPr="00A8685D" w:rsidRDefault="00C44DE8" w:rsidP="00AC43E1">
      <w:pPr>
        <w:rPr>
          <w:rFonts w:ascii="Times New Roman" w:hAnsi="Times New Roman"/>
          <w:sz w:val="24"/>
          <w:szCs w:val="24"/>
        </w:rPr>
      </w:pPr>
    </w:p>
    <w:p w:rsidR="007205B7" w:rsidRPr="00A8685D" w:rsidRDefault="007205B7" w:rsidP="00AC43E1">
      <w:pPr>
        <w:rPr>
          <w:rFonts w:ascii="Times New Roman" w:hAnsi="Times New Roman"/>
          <w:b/>
          <w:sz w:val="24"/>
          <w:szCs w:val="24"/>
        </w:rPr>
      </w:pPr>
      <w:r w:rsidRPr="00A8685D">
        <w:rPr>
          <w:rFonts w:ascii="Times New Roman" w:hAnsi="Times New Roman"/>
          <w:b/>
          <w:sz w:val="24"/>
          <w:szCs w:val="24"/>
        </w:rPr>
        <w:t xml:space="preserve">3. </w:t>
      </w:r>
      <w:r w:rsidR="004858C3" w:rsidRPr="00A8685D">
        <w:rPr>
          <w:rFonts w:ascii="Times New Roman" w:hAnsi="Times New Roman"/>
          <w:b/>
          <w:sz w:val="24"/>
          <w:szCs w:val="24"/>
        </w:rPr>
        <w:t xml:space="preserve">Bemærkninger vedr. </w:t>
      </w:r>
      <w:r w:rsidRPr="00A8685D">
        <w:rPr>
          <w:rFonts w:ascii="Times New Roman" w:hAnsi="Times New Roman"/>
          <w:b/>
          <w:sz w:val="24"/>
          <w:szCs w:val="24"/>
        </w:rPr>
        <w:t xml:space="preserve">Bekendtgørelse om informationssikkerhed og beredskab for elektroniske kommunikationsnet og </w:t>
      </w:r>
      <w:proofErr w:type="gramStart"/>
      <w:r w:rsidRPr="00A8685D">
        <w:rPr>
          <w:rFonts w:ascii="Times New Roman" w:hAnsi="Times New Roman"/>
          <w:b/>
          <w:sz w:val="24"/>
          <w:szCs w:val="24"/>
        </w:rPr>
        <w:t>–tjenester</w:t>
      </w:r>
      <w:proofErr w:type="gramEnd"/>
      <w:r w:rsidRPr="00A8685D">
        <w:rPr>
          <w:rFonts w:ascii="Times New Roman" w:hAnsi="Times New Roman"/>
          <w:b/>
          <w:sz w:val="24"/>
          <w:szCs w:val="24"/>
        </w:rPr>
        <w:t xml:space="preserve">  (</w:t>
      </w:r>
      <w:proofErr w:type="spellStart"/>
      <w:r w:rsidRPr="00A8685D">
        <w:rPr>
          <w:rFonts w:ascii="Times New Roman" w:hAnsi="Times New Roman"/>
          <w:b/>
          <w:sz w:val="24"/>
          <w:szCs w:val="24"/>
        </w:rPr>
        <w:t>Netbekendtgørelse</w:t>
      </w:r>
      <w:proofErr w:type="spellEnd"/>
      <w:r w:rsidRPr="00A8685D">
        <w:rPr>
          <w:rFonts w:ascii="Times New Roman" w:hAnsi="Times New Roman"/>
          <w:b/>
          <w:sz w:val="24"/>
          <w:szCs w:val="24"/>
        </w:rPr>
        <w:t>)</w:t>
      </w:r>
    </w:p>
    <w:p w:rsidR="007205B7" w:rsidRPr="00A8685D" w:rsidRDefault="007205B7" w:rsidP="00AC43E1">
      <w:pPr>
        <w:rPr>
          <w:rFonts w:ascii="Times New Roman" w:hAnsi="Times New Roman"/>
          <w:b/>
          <w:sz w:val="24"/>
          <w:szCs w:val="24"/>
        </w:rPr>
      </w:pPr>
    </w:p>
    <w:p w:rsidR="00EA59C7" w:rsidRPr="00A8685D" w:rsidRDefault="00EA59C7" w:rsidP="00AC43E1">
      <w:pPr>
        <w:rPr>
          <w:rFonts w:ascii="Times New Roman" w:hAnsi="Times New Roman"/>
          <w:sz w:val="24"/>
          <w:szCs w:val="24"/>
          <w:u w:val="single"/>
        </w:rPr>
      </w:pPr>
      <w:r w:rsidRPr="00A8685D">
        <w:rPr>
          <w:rFonts w:ascii="Times New Roman" w:hAnsi="Times New Roman"/>
          <w:sz w:val="24"/>
          <w:szCs w:val="24"/>
          <w:u w:val="single"/>
        </w:rPr>
        <w:t>Til §</w:t>
      </w:r>
      <w:r w:rsidR="005E6E1A" w:rsidRPr="00A8685D">
        <w:rPr>
          <w:rFonts w:ascii="Times New Roman" w:hAnsi="Times New Roman"/>
          <w:sz w:val="24"/>
          <w:szCs w:val="24"/>
          <w:u w:val="single"/>
        </w:rPr>
        <w:t xml:space="preserve"> </w:t>
      </w:r>
      <w:r w:rsidRPr="00A8685D">
        <w:rPr>
          <w:rFonts w:ascii="Times New Roman" w:hAnsi="Times New Roman"/>
          <w:sz w:val="24"/>
          <w:szCs w:val="24"/>
          <w:u w:val="single"/>
        </w:rPr>
        <w:t>3 stk</w:t>
      </w:r>
      <w:r w:rsidR="00303290" w:rsidRPr="00A8685D">
        <w:rPr>
          <w:rFonts w:ascii="Times New Roman" w:hAnsi="Times New Roman"/>
          <w:sz w:val="24"/>
          <w:szCs w:val="24"/>
          <w:u w:val="single"/>
        </w:rPr>
        <w:t>.</w:t>
      </w:r>
      <w:r w:rsidRPr="00A8685D">
        <w:rPr>
          <w:rFonts w:ascii="Times New Roman" w:hAnsi="Times New Roman"/>
          <w:sz w:val="24"/>
          <w:szCs w:val="24"/>
          <w:u w:val="single"/>
        </w:rPr>
        <w:t xml:space="preserve"> 1</w:t>
      </w:r>
      <w:r w:rsidR="00E8589C" w:rsidRPr="00A8685D">
        <w:rPr>
          <w:rFonts w:ascii="Times New Roman" w:hAnsi="Times New Roman"/>
          <w:sz w:val="24"/>
          <w:szCs w:val="24"/>
          <w:u w:val="single"/>
        </w:rPr>
        <w:t xml:space="preserve"> litra c</w:t>
      </w:r>
      <w:r w:rsidRPr="00A8685D">
        <w:rPr>
          <w:rFonts w:ascii="Times New Roman" w:hAnsi="Times New Roman"/>
          <w:sz w:val="24"/>
          <w:szCs w:val="24"/>
          <w:u w:val="single"/>
        </w:rPr>
        <w:t>:</w:t>
      </w:r>
    </w:p>
    <w:p w:rsidR="00EA59C7" w:rsidRPr="00A8685D" w:rsidRDefault="00EA59C7" w:rsidP="00AC43E1">
      <w:pPr>
        <w:rPr>
          <w:rFonts w:ascii="Times New Roman" w:hAnsi="Times New Roman"/>
          <w:sz w:val="24"/>
          <w:szCs w:val="24"/>
        </w:rPr>
      </w:pPr>
      <w:r w:rsidRPr="00A8685D">
        <w:rPr>
          <w:rFonts w:ascii="Times New Roman" w:hAnsi="Times New Roman"/>
          <w:sz w:val="24"/>
          <w:szCs w:val="24"/>
        </w:rPr>
        <w:t>Mht</w:t>
      </w:r>
      <w:r w:rsidR="00C72FB2" w:rsidRPr="00A8685D">
        <w:rPr>
          <w:rFonts w:ascii="Times New Roman" w:hAnsi="Times New Roman"/>
          <w:sz w:val="24"/>
          <w:szCs w:val="24"/>
        </w:rPr>
        <w:t>.</w:t>
      </w:r>
      <w:r w:rsidRPr="00A8685D">
        <w:rPr>
          <w:rFonts w:ascii="Times New Roman" w:hAnsi="Times New Roman"/>
          <w:sz w:val="24"/>
          <w:szCs w:val="24"/>
        </w:rPr>
        <w:t xml:space="preserve"> defin</w:t>
      </w:r>
      <w:r w:rsidR="006F11E8" w:rsidRPr="00A8685D">
        <w:rPr>
          <w:rFonts w:ascii="Times New Roman" w:hAnsi="Times New Roman"/>
          <w:sz w:val="24"/>
          <w:szCs w:val="24"/>
        </w:rPr>
        <w:t>i</w:t>
      </w:r>
      <w:r w:rsidRPr="00A8685D">
        <w:rPr>
          <w:rFonts w:ascii="Times New Roman" w:hAnsi="Times New Roman"/>
          <w:sz w:val="24"/>
          <w:szCs w:val="24"/>
        </w:rPr>
        <w:t>tion af</w:t>
      </w:r>
      <w:r w:rsidR="00D229AC" w:rsidRPr="00A8685D">
        <w:rPr>
          <w:rFonts w:ascii="Times New Roman" w:hAnsi="Times New Roman"/>
          <w:sz w:val="24"/>
          <w:szCs w:val="24"/>
        </w:rPr>
        <w:t xml:space="preserve"> 'integritet'</w:t>
      </w:r>
      <w:r w:rsidRPr="00A8685D">
        <w:rPr>
          <w:rFonts w:ascii="Times New Roman" w:hAnsi="Times New Roman"/>
          <w:sz w:val="24"/>
          <w:szCs w:val="24"/>
        </w:rPr>
        <w:t xml:space="preserve"> så vil TI i forbindelse med beredskab for net henlede opmærksomheden på</w:t>
      </w:r>
      <w:r w:rsidR="004858C3" w:rsidRPr="00A8685D">
        <w:rPr>
          <w:rFonts w:ascii="Times New Roman" w:hAnsi="Times New Roman"/>
          <w:sz w:val="24"/>
          <w:szCs w:val="24"/>
        </w:rPr>
        <w:t>,</w:t>
      </w:r>
      <w:r w:rsidRPr="00A8685D">
        <w:rPr>
          <w:rFonts w:ascii="Times New Roman" w:hAnsi="Times New Roman"/>
          <w:sz w:val="24"/>
          <w:szCs w:val="24"/>
        </w:rPr>
        <w:t xml:space="preserve"> at integritet i tidligere EU lovgivningen</w:t>
      </w:r>
      <w:r w:rsidRPr="00A8685D">
        <w:rPr>
          <w:rStyle w:val="Fodnotehenvisning"/>
          <w:rFonts w:ascii="Times New Roman" w:hAnsi="Times New Roman"/>
          <w:sz w:val="24"/>
          <w:szCs w:val="24"/>
        </w:rPr>
        <w:footnoteReference w:id="1"/>
      </w:r>
      <w:r w:rsidRPr="00A8685D">
        <w:rPr>
          <w:rFonts w:ascii="Times New Roman" w:hAnsi="Times New Roman"/>
          <w:sz w:val="24"/>
          <w:szCs w:val="24"/>
        </w:rPr>
        <w:t xml:space="preserve"> har en videre og i denne sammenhæng relevant betydning jf.</w:t>
      </w:r>
      <w:r w:rsidR="004858C3" w:rsidRPr="00A8685D">
        <w:rPr>
          <w:rFonts w:ascii="Times New Roman" w:hAnsi="Times New Roman"/>
          <w:sz w:val="24"/>
          <w:szCs w:val="24"/>
        </w:rPr>
        <w:t xml:space="preserve"> også </w:t>
      </w:r>
      <w:proofErr w:type="spellStart"/>
      <w:r w:rsidR="00E8589C" w:rsidRPr="00A8685D">
        <w:rPr>
          <w:rFonts w:ascii="Times New Roman" w:hAnsi="Times New Roman"/>
          <w:sz w:val="24"/>
          <w:szCs w:val="24"/>
        </w:rPr>
        <w:t>CEPTs</w:t>
      </w:r>
      <w:proofErr w:type="spellEnd"/>
      <w:r w:rsidR="00E8589C" w:rsidRPr="00A8685D">
        <w:rPr>
          <w:rFonts w:ascii="Times New Roman" w:hAnsi="Times New Roman"/>
          <w:sz w:val="24"/>
          <w:szCs w:val="24"/>
        </w:rPr>
        <w:t xml:space="preserve"> anbefaling: </w:t>
      </w:r>
    </w:p>
    <w:p w:rsidR="00E8589C" w:rsidRPr="00A8685D" w:rsidRDefault="00E8589C" w:rsidP="00E8589C">
      <w:pPr>
        <w:pStyle w:val="Default"/>
        <w:rPr>
          <w:rFonts w:ascii="Times New Roman" w:hAnsi="Times New Roman"/>
          <w:sz w:val="24"/>
          <w:szCs w:val="24"/>
        </w:rPr>
      </w:pPr>
    </w:p>
    <w:p w:rsidR="00E8589C" w:rsidRPr="00A8685D" w:rsidRDefault="00E8589C" w:rsidP="00E8589C">
      <w:pPr>
        <w:pStyle w:val="Brdtekst"/>
        <w:spacing w:after="120"/>
        <w:rPr>
          <w:sz w:val="24"/>
          <w:szCs w:val="24"/>
        </w:rPr>
      </w:pPr>
      <w:r w:rsidRPr="00A8685D">
        <w:rPr>
          <w:i/>
          <w:sz w:val="24"/>
          <w:szCs w:val="24"/>
        </w:rPr>
        <w:t>The maintenance of network integrity is the protection of the physical and functional operation of a network against disruption and degradation and its resistance to breakdown caused by electrical conditions, signalling protocols or traffic loads, which can be induced via interfaces between terminals and networks or between different networks</w:t>
      </w:r>
      <w:r w:rsidRPr="00A8685D">
        <w:rPr>
          <w:sz w:val="24"/>
          <w:szCs w:val="24"/>
        </w:rPr>
        <w:t xml:space="preserve"> </w:t>
      </w:r>
      <w:r w:rsidRPr="00A8685D">
        <w:rPr>
          <w:rStyle w:val="Fodnotehenvisning"/>
          <w:sz w:val="24"/>
          <w:szCs w:val="24"/>
        </w:rPr>
        <w:footnoteReference w:id="2"/>
      </w:r>
    </w:p>
    <w:p w:rsidR="00E8589C" w:rsidRPr="00A8685D" w:rsidRDefault="00E8589C" w:rsidP="00AC43E1">
      <w:pPr>
        <w:rPr>
          <w:rFonts w:ascii="Times New Roman" w:hAnsi="Times New Roman"/>
          <w:sz w:val="24"/>
          <w:szCs w:val="24"/>
        </w:rPr>
      </w:pPr>
      <w:r w:rsidRPr="00A8685D">
        <w:rPr>
          <w:rFonts w:ascii="Times New Roman" w:hAnsi="Times New Roman"/>
          <w:sz w:val="24"/>
          <w:szCs w:val="24"/>
        </w:rPr>
        <w:t xml:space="preserve">Således som det også blev defineret </w:t>
      </w:r>
      <w:r w:rsidR="006F11E8" w:rsidRPr="00A8685D">
        <w:rPr>
          <w:rFonts w:ascii="Times New Roman" w:hAnsi="Times New Roman"/>
          <w:sz w:val="24"/>
          <w:szCs w:val="24"/>
        </w:rPr>
        <w:t>i</w:t>
      </w:r>
      <w:r w:rsidRPr="00A8685D">
        <w:rPr>
          <w:rFonts w:ascii="Times New Roman" w:hAnsi="Times New Roman"/>
          <w:sz w:val="24"/>
          <w:szCs w:val="24"/>
        </w:rPr>
        <w:t xml:space="preserve"> </w:t>
      </w:r>
      <w:proofErr w:type="spellStart"/>
      <w:r w:rsidRPr="00A8685D">
        <w:rPr>
          <w:rFonts w:ascii="Times New Roman" w:hAnsi="Times New Roman"/>
          <w:sz w:val="24"/>
          <w:szCs w:val="24"/>
        </w:rPr>
        <w:t>EUs</w:t>
      </w:r>
      <w:proofErr w:type="spellEnd"/>
      <w:r w:rsidRPr="00A8685D">
        <w:rPr>
          <w:rFonts w:ascii="Times New Roman" w:hAnsi="Times New Roman"/>
          <w:sz w:val="24"/>
          <w:szCs w:val="24"/>
        </w:rPr>
        <w:t xml:space="preserve"> ONP direktiv: </w:t>
      </w:r>
    </w:p>
    <w:p w:rsidR="00E8589C" w:rsidRPr="00A8685D" w:rsidRDefault="00E8589C" w:rsidP="00AC43E1">
      <w:pPr>
        <w:rPr>
          <w:rFonts w:ascii="Times New Roman" w:hAnsi="Times New Roman"/>
          <w:sz w:val="24"/>
          <w:szCs w:val="24"/>
          <w:u w:val="single"/>
        </w:rPr>
      </w:pPr>
    </w:p>
    <w:p w:rsidR="007205B7" w:rsidRPr="00A8685D" w:rsidRDefault="00EA59C7" w:rsidP="00AC43E1">
      <w:pPr>
        <w:rPr>
          <w:rFonts w:ascii="Times New Roman" w:hAnsi="Times New Roman"/>
          <w:b/>
          <w:sz w:val="24"/>
          <w:szCs w:val="24"/>
        </w:rPr>
      </w:pPr>
      <w:r w:rsidRPr="00A8685D">
        <w:rPr>
          <w:rFonts w:ascii="Times New Roman" w:hAnsi="Times New Roman"/>
          <w:i/>
          <w:sz w:val="24"/>
          <w:szCs w:val="24"/>
          <w:lang w:val="en-US"/>
        </w:rPr>
        <w:t>(b) Maintenance of network integrity: Member States shall take all necessary steps to ensure that the integrity of public telecommunications networks is maintained. The need to maintain network integrity does not constitute a valid reason for refusal to negotiate terms for interconnection. The national regulatory authority shall ensure that any conditions for interconnection related to protection of network integrity are proportionate and non-discriminatory in nature, and are based on objective criteria identified in advance</w:t>
      </w:r>
      <w:r w:rsidRPr="00A8685D">
        <w:rPr>
          <w:rFonts w:ascii="Times New Roman" w:hAnsi="Times New Roman"/>
          <w:sz w:val="24"/>
          <w:szCs w:val="24"/>
          <w:lang w:val="en-US"/>
        </w:rPr>
        <w:t xml:space="preserve">. </w:t>
      </w:r>
      <w:r w:rsidRPr="00A8685D">
        <w:rPr>
          <w:rFonts w:ascii="Times New Roman" w:hAnsi="Times New Roman"/>
          <w:sz w:val="24"/>
          <w:szCs w:val="24"/>
        </w:rPr>
        <w:t>(Artikel 10)</w:t>
      </w:r>
    </w:p>
    <w:p w:rsidR="007205B7" w:rsidRPr="00A8685D" w:rsidRDefault="007205B7" w:rsidP="00AC43E1">
      <w:pPr>
        <w:rPr>
          <w:rFonts w:ascii="Times New Roman" w:hAnsi="Times New Roman"/>
          <w:b/>
          <w:sz w:val="24"/>
          <w:szCs w:val="24"/>
        </w:rPr>
      </w:pPr>
    </w:p>
    <w:p w:rsidR="00EA59C7" w:rsidRPr="00A8685D" w:rsidRDefault="002A684A" w:rsidP="00AC43E1">
      <w:pPr>
        <w:rPr>
          <w:rFonts w:ascii="Times New Roman" w:hAnsi="Times New Roman"/>
          <w:sz w:val="24"/>
          <w:szCs w:val="24"/>
        </w:rPr>
      </w:pPr>
      <w:r w:rsidRPr="00A8685D">
        <w:rPr>
          <w:rFonts w:ascii="Times New Roman" w:hAnsi="Times New Roman"/>
          <w:sz w:val="24"/>
          <w:szCs w:val="24"/>
        </w:rPr>
        <w:t xml:space="preserve">Uanset de nævnte definitioner ikke længere indgår i aktiv regulering (idet </w:t>
      </w:r>
      <w:proofErr w:type="spellStart"/>
      <w:r w:rsidRPr="00A8685D">
        <w:rPr>
          <w:rFonts w:ascii="Times New Roman" w:hAnsi="Times New Roman"/>
          <w:sz w:val="24"/>
          <w:szCs w:val="24"/>
        </w:rPr>
        <w:t>CEPT</w:t>
      </w:r>
      <w:r w:rsidR="00137D5E" w:rsidRPr="00A8685D">
        <w:rPr>
          <w:rFonts w:ascii="Times New Roman" w:hAnsi="Times New Roman"/>
          <w:sz w:val="24"/>
          <w:szCs w:val="24"/>
        </w:rPr>
        <w:t>s</w:t>
      </w:r>
      <w:proofErr w:type="spellEnd"/>
      <w:r w:rsidRPr="00A8685D">
        <w:rPr>
          <w:rFonts w:ascii="Times New Roman" w:hAnsi="Times New Roman"/>
          <w:sz w:val="24"/>
          <w:szCs w:val="24"/>
        </w:rPr>
        <w:t xml:space="preserve"> anbefalinger dog fortsat er gældende) </w:t>
      </w:r>
      <w:r w:rsidR="00137D5E" w:rsidRPr="00A8685D">
        <w:rPr>
          <w:rFonts w:ascii="Times New Roman" w:hAnsi="Times New Roman"/>
          <w:sz w:val="24"/>
          <w:szCs w:val="24"/>
        </w:rPr>
        <w:t xml:space="preserve">foreslår </w:t>
      </w:r>
      <w:r w:rsidR="004858C3" w:rsidRPr="00A8685D">
        <w:rPr>
          <w:rFonts w:ascii="Times New Roman" w:hAnsi="Times New Roman"/>
          <w:sz w:val="24"/>
          <w:szCs w:val="24"/>
        </w:rPr>
        <w:t>T</w:t>
      </w:r>
      <w:r w:rsidR="00137D5E" w:rsidRPr="00A8685D">
        <w:rPr>
          <w:rFonts w:ascii="Times New Roman" w:hAnsi="Times New Roman"/>
          <w:sz w:val="24"/>
          <w:szCs w:val="24"/>
        </w:rPr>
        <w:t>I,</w:t>
      </w:r>
      <w:r w:rsidR="00C72FB2" w:rsidRPr="00A8685D">
        <w:rPr>
          <w:rFonts w:ascii="Times New Roman" w:hAnsi="Times New Roman"/>
          <w:sz w:val="24"/>
          <w:szCs w:val="24"/>
        </w:rPr>
        <w:t xml:space="preserve"> at </w:t>
      </w:r>
      <w:r w:rsidR="00EA59C7" w:rsidRPr="00A8685D">
        <w:rPr>
          <w:rFonts w:ascii="Times New Roman" w:hAnsi="Times New Roman"/>
          <w:sz w:val="24"/>
          <w:szCs w:val="24"/>
        </w:rPr>
        <w:t xml:space="preserve">'integritet' </w:t>
      </w:r>
      <w:r w:rsidR="00E8589C" w:rsidRPr="00A8685D">
        <w:rPr>
          <w:rFonts w:ascii="Times New Roman" w:hAnsi="Times New Roman"/>
          <w:sz w:val="24"/>
          <w:szCs w:val="24"/>
        </w:rPr>
        <w:t>netop i forbindelse med</w:t>
      </w:r>
      <w:r w:rsidR="004858C3" w:rsidRPr="00A8685D">
        <w:rPr>
          <w:rFonts w:ascii="Times New Roman" w:hAnsi="Times New Roman"/>
          <w:sz w:val="24"/>
          <w:szCs w:val="24"/>
        </w:rPr>
        <w:t xml:space="preserve"> udkast</w:t>
      </w:r>
      <w:r w:rsidR="00D229AC" w:rsidRPr="00A8685D">
        <w:rPr>
          <w:rFonts w:ascii="Times New Roman" w:hAnsi="Times New Roman"/>
          <w:sz w:val="24"/>
          <w:szCs w:val="24"/>
        </w:rPr>
        <w:t xml:space="preserve"> til </w:t>
      </w:r>
      <w:proofErr w:type="spellStart"/>
      <w:r w:rsidR="00D229AC" w:rsidRPr="00A8685D">
        <w:rPr>
          <w:rFonts w:ascii="Times New Roman" w:hAnsi="Times New Roman"/>
          <w:sz w:val="24"/>
          <w:szCs w:val="24"/>
        </w:rPr>
        <w:t>Netbekendtgørelsens</w:t>
      </w:r>
      <w:proofErr w:type="spellEnd"/>
      <w:r w:rsidR="00E8589C" w:rsidRPr="00A8685D">
        <w:rPr>
          <w:rFonts w:ascii="Times New Roman" w:hAnsi="Times New Roman"/>
          <w:sz w:val="24"/>
          <w:szCs w:val="24"/>
        </w:rPr>
        <w:t xml:space="preserve"> </w:t>
      </w:r>
      <w:r w:rsidR="004858C3" w:rsidRPr="00A8685D">
        <w:rPr>
          <w:rFonts w:ascii="Times New Roman" w:hAnsi="Times New Roman"/>
          <w:sz w:val="24"/>
          <w:szCs w:val="24"/>
        </w:rPr>
        <w:t xml:space="preserve">fokus på </w:t>
      </w:r>
      <w:r w:rsidR="00E8589C" w:rsidRPr="00A8685D">
        <w:rPr>
          <w:rFonts w:ascii="Times New Roman" w:hAnsi="Times New Roman"/>
          <w:sz w:val="24"/>
          <w:szCs w:val="24"/>
        </w:rPr>
        <w:t xml:space="preserve">opretholdelse af </w:t>
      </w:r>
      <w:proofErr w:type="spellStart"/>
      <w:r w:rsidR="00E8589C" w:rsidRPr="00A8685D">
        <w:rPr>
          <w:rFonts w:ascii="Times New Roman" w:hAnsi="Times New Roman"/>
          <w:sz w:val="24"/>
          <w:szCs w:val="24"/>
        </w:rPr>
        <w:t>netdrift</w:t>
      </w:r>
      <w:proofErr w:type="spellEnd"/>
      <w:r w:rsidR="00E8589C" w:rsidRPr="00A8685D">
        <w:rPr>
          <w:rFonts w:ascii="Times New Roman" w:hAnsi="Times New Roman"/>
          <w:sz w:val="24"/>
          <w:szCs w:val="24"/>
        </w:rPr>
        <w:t xml:space="preserve"> og funktionalitet </w:t>
      </w:r>
      <w:r w:rsidR="00EA59C7" w:rsidRPr="00A8685D">
        <w:rPr>
          <w:rFonts w:ascii="Times New Roman" w:hAnsi="Times New Roman"/>
          <w:sz w:val="24"/>
          <w:szCs w:val="24"/>
        </w:rPr>
        <w:t xml:space="preserve">defineres til også omfatte opretholdelse af nettets funktionsevne og </w:t>
      </w:r>
      <w:r w:rsidR="00E8589C" w:rsidRPr="00A8685D">
        <w:rPr>
          <w:rFonts w:ascii="Times New Roman" w:hAnsi="Times New Roman"/>
          <w:sz w:val="24"/>
          <w:szCs w:val="24"/>
        </w:rPr>
        <w:t>at det i defin</w:t>
      </w:r>
      <w:r w:rsidR="00EA59C7" w:rsidRPr="00A8685D">
        <w:rPr>
          <w:rFonts w:ascii="Times New Roman" w:hAnsi="Times New Roman"/>
          <w:sz w:val="24"/>
          <w:szCs w:val="24"/>
        </w:rPr>
        <w:t>i</w:t>
      </w:r>
      <w:r w:rsidR="006F11E8" w:rsidRPr="00A8685D">
        <w:rPr>
          <w:rFonts w:ascii="Times New Roman" w:hAnsi="Times New Roman"/>
          <w:sz w:val="24"/>
          <w:szCs w:val="24"/>
        </w:rPr>
        <w:t>tionen indgår</w:t>
      </w:r>
      <w:r w:rsidR="004858C3" w:rsidRPr="00A8685D">
        <w:rPr>
          <w:rFonts w:ascii="Times New Roman" w:hAnsi="Times New Roman"/>
          <w:sz w:val="24"/>
          <w:szCs w:val="24"/>
        </w:rPr>
        <w:t>,</w:t>
      </w:r>
      <w:r w:rsidR="006F11E8" w:rsidRPr="00A8685D">
        <w:rPr>
          <w:rFonts w:ascii="Times New Roman" w:hAnsi="Times New Roman"/>
          <w:sz w:val="24"/>
          <w:szCs w:val="24"/>
        </w:rPr>
        <w:t xml:space="preserve"> at </w:t>
      </w:r>
      <w:proofErr w:type="spellStart"/>
      <w:r w:rsidR="006F11E8" w:rsidRPr="00A8685D">
        <w:rPr>
          <w:rFonts w:ascii="Times New Roman" w:hAnsi="Times New Roman"/>
          <w:sz w:val="24"/>
          <w:szCs w:val="24"/>
        </w:rPr>
        <w:t>netejer</w:t>
      </w:r>
      <w:proofErr w:type="spellEnd"/>
      <w:r w:rsidR="006F11E8" w:rsidRPr="00A8685D">
        <w:rPr>
          <w:rFonts w:ascii="Times New Roman" w:hAnsi="Times New Roman"/>
          <w:sz w:val="24"/>
          <w:szCs w:val="24"/>
        </w:rPr>
        <w:t xml:space="preserve"> er </w:t>
      </w:r>
      <w:r w:rsidR="00EA59C7" w:rsidRPr="00A8685D">
        <w:rPr>
          <w:rFonts w:ascii="Times New Roman" w:hAnsi="Times New Roman"/>
          <w:sz w:val="24"/>
          <w:szCs w:val="24"/>
        </w:rPr>
        <w:t>berettiget til at afbryde trafik</w:t>
      </w:r>
      <w:r w:rsidR="00D229AC" w:rsidRPr="00A8685D">
        <w:rPr>
          <w:rFonts w:ascii="Times New Roman" w:hAnsi="Times New Roman"/>
          <w:sz w:val="24"/>
          <w:szCs w:val="24"/>
        </w:rPr>
        <w:t xml:space="preserve"> eller terminaladgang</w:t>
      </w:r>
      <w:r w:rsidR="00EA59C7" w:rsidRPr="00A8685D">
        <w:rPr>
          <w:rFonts w:ascii="Times New Roman" w:hAnsi="Times New Roman"/>
          <w:sz w:val="24"/>
          <w:szCs w:val="24"/>
        </w:rPr>
        <w:t>, der kan true denne</w:t>
      </w:r>
      <w:r w:rsidR="00C72FB2" w:rsidRPr="00A8685D">
        <w:rPr>
          <w:rStyle w:val="Fodnotehenvisning"/>
          <w:rFonts w:ascii="Times New Roman" w:hAnsi="Times New Roman"/>
          <w:sz w:val="24"/>
          <w:szCs w:val="24"/>
        </w:rPr>
        <w:footnoteReference w:id="3"/>
      </w:r>
      <w:r w:rsidR="00EA59C7" w:rsidRPr="00A8685D">
        <w:rPr>
          <w:rFonts w:ascii="Times New Roman" w:hAnsi="Times New Roman"/>
          <w:sz w:val="24"/>
          <w:szCs w:val="24"/>
        </w:rPr>
        <w:t xml:space="preserve">. </w:t>
      </w:r>
    </w:p>
    <w:p w:rsidR="00C44DE8" w:rsidRPr="00A8685D" w:rsidRDefault="00C44DE8" w:rsidP="00C44DE8">
      <w:pPr>
        <w:rPr>
          <w:rFonts w:ascii="Times New Roman" w:hAnsi="Times New Roman"/>
          <w:sz w:val="24"/>
          <w:szCs w:val="24"/>
          <w:u w:val="single"/>
        </w:rPr>
      </w:pPr>
      <w:r w:rsidRPr="00A8685D">
        <w:rPr>
          <w:rFonts w:ascii="Times New Roman" w:hAnsi="Times New Roman"/>
          <w:sz w:val="24"/>
          <w:szCs w:val="24"/>
          <w:u w:val="single"/>
        </w:rPr>
        <w:t>Til § 6:</w:t>
      </w:r>
    </w:p>
    <w:p w:rsidR="00C44DE8" w:rsidRPr="00A8685D" w:rsidRDefault="00C44DE8" w:rsidP="00C44DE8">
      <w:pPr>
        <w:rPr>
          <w:rFonts w:ascii="Times New Roman" w:hAnsi="Times New Roman"/>
          <w:sz w:val="24"/>
          <w:szCs w:val="24"/>
        </w:rPr>
      </w:pPr>
      <w:r w:rsidRPr="00A8685D">
        <w:rPr>
          <w:rFonts w:ascii="Times New Roman" w:hAnsi="Times New Roman"/>
          <w:sz w:val="24"/>
          <w:szCs w:val="24"/>
        </w:rPr>
        <w:t xml:space="preserve">Krav om information til slutbrugere om </w:t>
      </w:r>
      <w:r w:rsidRPr="00A8685D">
        <w:rPr>
          <w:rFonts w:ascii="Times New Roman" w:hAnsi="Times New Roman"/>
          <w:b/>
          <w:sz w:val="24"/>
          <w:szCs w:val="24"/>
          <w:u w:val="single"/>
        </w:rPr>
        <w:t>potentielle</w:t>
      </w:r>
      <w:r w:rsidRPr="00A8685D">
        <w:rPr>
          <w:rFonts w:ascii="Times New Roman" w:hAnsi="Times New Roman"/>
          <w:sz w:val="24"/>
          <w:szCs w:val="24"/>
        </w:rPr>
        <w:t xml:space="preserve"> risici kan skabe unødig frygt blandt brugere i forbindelse med benyttelse af udbyderens tjenester. Der mangler en definition på hvad og hvordan slutbrugere skal informeres om</w:t>
      </w:r>
    </w:p>
    <w:p w:rsidR="00C44DE8" w:rsidRPr="00A8685D" w:rsidRDefault="00C44DE8" w:rsidP="00AC43E1">
      <w:pPr>
        <w:rPr>
          <w:rFonts w:ascii="Times New Roman" w:hAnsi="Times New Roman"/>
          <w:sz w:val="24"/>
          <w:szCs w:val="24"/>
        </w:rPr>
      </w:pPr>
    </w:p>
    <w:p w:rsidR="0007411D" w:rsidRPr="00A8685D" w:rsidRDefault="0007411D" w:rsidP="00F470D8">
      <w:pPr>
        <w:rPr>
          <w:rFonts w:ascii="Times New Roman" w:hAnsi="Times New Roman"/>
          <w:sz w:val="24"/>
          <w:szCs w:val="24"/>
        </w:rPr>
      </w:pPr>
    </w:p>
    <w:p w:rsidR="00C72FB2" w:rsidRPr="00A8685D" w:rsidRDefault="00C72FB2" w:rsidP="00F470D8">
      <w:pPr>
        <w:rPr>
          <w:rFonts w:ascii="Times New Roman" w:hAnsi="Times New Roman"/>
          <w:sz w:val="24"/>
          <w:szCs w:val="24"/>
          <w:u w:val="single"/>
        </w:rPr>
      </w:pPr>
      <w:r w:rsidRPr="00A8685D">
        <w:rPr>
          <w:rFonts w:ascii="Times New Roman" w:hAnsi="Times New Roman"/>
          <w:sz w:val="24"/>
          <w:szCs w:val="24"/>
          <w:u w:val="single"/>
        </w:rPr>
        <w:t xml:space="preserve">Til </w:t>
      </w:r>
      <w:r w:rsidR="000D0466" w:rsidRPr="00A8685D">
        <w:rPr>
          <w:rFonts w:ascii="Times New Roman" w:hAnsi="Times New Roman"/>
          <w:sz w:val="24"/>
          <w:szCs w:val="24"/>
          <w:u w:val="single"/>
        </w:rPr>
        <w:t>§</w:t>
      </w:r>
      <w:r w:rsidR="005E6E1A" w:rsidRPr="00A8685D">
        <w:rPr>
          <w:rFonts w:ascii="Times New Roman" w:hAnsi="Times New Roman"/>
          <w:sz w:val="24"/>
          <w:szCs w:val="24"/>
          <w:u w:val="single"/>
        </w:rPr>
        <w:t xml:space="preserve"> </w:t>
      </w:r>
      <w:r w:rsidR="000D0466" w:rsidRPr="00A8685D">
        <w:rPr>
          <w:rFonts w:ascii="Times New Roman" w:hAnsi="Times New Roman"/>
          <w:sz w:val="24"/>
          <w:szCs w:val="24"/>
          <w:u w:val="single"/>
        </w:rPr>
        <w:t xml:space="preserve">15 </w:t>
      </w:r>
      <w:proofErr w:type="spellStart"/>
      <w:r w:rsidR="000D0466" w:rsidRPr="00A8685D">
        <w:rPr>
          <w:rFonts w:ascii="Times New Roman" w:hAnsi="Times New Roman"/>
          <w:sz w:val="24"/>
          <w:szCs w:val="24"/>
          <w:u w:val="single"/>
        </w:rPr>
        <w:t>stk</w:t>
      </w:r>
      <w:proofErr w:type="spellEnd"/>
      <w:r w:rsidR="000D0466" w:rsidRPr="00A8685D">
        <w:rPr>
          <w:rFonts w:ascii="Times New Roman" w:hAnsi="Times New Roman"/>
          <w:sz w:val="24"/>
          <w:szCs w:val="24"/>
          <w:u w:val="single"/>
        </w:rPr>
        <w:t xml:space="preserve"> 1:</w:t>
      </w:r>
    </w:p>
    <w:p w:rsidR="000D0466" w:rsidRPr="00A8685D" w:rsidRDefault="000D0466" w:rsidP="00F470D8">
      <w:pPr>
        <w:rPr>
          <w:rFonts w:ascii="Times New Roman" w:hAnsi="Times New Roman"/>
          <w:sz w:val="24"/>
          <w:szCs w:val="24"/>
        </w:rPr>
      </w:pPr>
      <w:r w:rsidRPr="00A8685D">
        <w:rPr>
          <w:rFonts w:ascii="Times New Roman" w:hAnsi="Times New Roman"/>
          <w:sz w:val="24"/>
          <w:szCs w:val="24"/>
        </w:rPr>
        <w:t>TI finder, at der med fordel kan</w:t>
      </w:r>
      <w:r w:rsidR="001901D9" w:rsidRPr="00A8685D">
        <w:rPr>
          <w:rFonts w:ascii="Times New Roman" w:hAnsi="Times New Roman"/>
          <w:sz w:val="24"/>
          <w:szCs w:val="24"/>
        </w:rPr>
        <w:t xml:space="preserve"> tillægges et </w:t>
      </w:r>
      <w:r w:rsidRPr="00A8685D">
        <w:rPr>
          <w:rFonts w:ascii="Times New Roman" w:hAnsi="Times New Roman"/>
          <w:sz w:val="24"/>
          <w:szCs w:val="24"/>
        </w:rPr>
        <w:t>væsentlighedskriterium, førend der bør ske anmeldelse i henhold til §</w:t>
      </w:r>
      <w:r w:rsidR="005E6E1A" w:rsidRPr="00A8685D">
        <w:rPr>
          <w:rFonts w:ascii="Times New Roman" w:hAnsi="Times New Roman"/>
          <w:sz w:val="24"/>
          <w:szCs w:val="24"/>
        </w:rPr>
        <w:t xml:space="preserve"> </w:t>
      </w:r>
      <w:r w:rsidRPr="00A8685D">
        <w:rPr>
          <w:rFonts w:ascii="Times New Roman" w:hAnsi="Times New Roman"/>
          <w:sz w:val="24"/>
          <w:szCs w:val="24"/>
        </w:rPr>
        <w:t>15, idet den omfattende definition af persondata hændelser</w:t>
      </w:r>
      <w:r w:rsidR="004858C3" w:rsidRPr="00A8685D">
        <w:rPr>
          <w:rFonts w:ascii="Times New Roman" w:hAnsi="Times New Roman"/>
          <w:sz w:val="24"/>
          <w:szCs w:val="24"/>
        </w:rPr>
        <w:t>,</w:t>
      </w:r>
      <w:r w:rsidRPr="00A8685D">
        <w:rPr>
          <w:rFonts w:ascii="Times New Roman" w:hAnsi="Times New Roman"/>
          <w:sz w:val="24"/>
          <w:szCs w:val="24"/>
        </w:rPr>
        <w:t xml:space="preserve"> der medfører underretningspligt</w:t>
      </w:r>
      <w:r w:rsidR="004858C3" w:rsidRPr="00A8685D">
        <w:rPr>
          <w:rFonts w:ascii="Times New Roman" w:hAnsi="Times New Roman"/>
          <w:sz w:val="24"/>
          <w:szCs w:val="24"/>
        </w:rPr>
        <w:t>,</w:t>
      </w:r>
      <w:r w:rsidRPr="00A8685D">
        <w:rPr>
          <w:rFonts w:ascii="Times New Roman" w:hAnsi="Times New Roman"/>
          <w:sz w:val="24"/>
          <w:szCs w:val="24"/>
        </w:rPr>
        <w:t xml:space="preserve"> kan medføre </w:t>
      </w:r>
      <w:r w:rsidR="004858C3" w:rsidRPr="00A8685D">
        <w:rPr>
          <w:rFonts w:ascii="Times New Roman" w:hAnsi="Times New Roman"/>
          <w:sz w:val="24"/>
          <w:szCs w:val="24"/>
        </w:rPr>
        <w:t xml:space="preserve">et unødig vidtgående </w:t>
      </w:r>
      <w:r w:rsidRPr="00A8685D">
        <w:rPr>
          <w:rFonts w:ascii="Times New Roman" w:hAnsi="Times New Roman"/>
          <w:sz w:val="24"/>
          <w:szCs w:val="24"/>
        </w:rPr>
        <w:t>krav om underretning af</w:t>
      </w:r>
      <w:r w:rsidR="004858C3" w:rsidRPr="00A8685D">
        <w:rPr>
          <w:rFonts w:ascii="Times New Roman" w:hAnsi="Times New Roman"/>
          <w:sz w:val="24"/>
          <w:szCs w:val="24"/>
        </w:rPr>
        <w:t xml:space="preserve"> </w:t>
      </w:r>
      <w:r w:rsidRPr="00A8685D">
        <w:rPr>
          <w:rFonts w:ascii="Times New Roman" w:hAnsi="Times New Roman"/>
          <w:sz w:val="24"/>
          <w:szCs w:val="24"/>
        </w:rPr>
        <w:t>hændelser</w:t>
      </w:r>
      <w:r w:rsidR="004858C3" w:rsidRPr="00A8685D">
        <w:rPr>
          <w:rFonts w:ascii="Times New Roman" w:hAnsi="Times New Roman"/>
          <w:sz w:val="24"/>
          <w:szCs w:val="24"/>
        </w:rPr>
        <w:t>,</w:t>
      </w:r>
      <w:r w:rsidRPr="00A8685D">
        <w:rPr>
          <w:rFonts w:ascii="Times New Roman" w:hAnsi="Times New Roman"/>
          <w:sz w:val="24"/>
          <w:szCs w:val="24"/>
        </w:rPr>
        <w:t xml:space="preserve"> </w:t>
      </w:r>
      <w:r w:rsidR="004858C3" w:rsidRPr="00A8685D">
        <w:rPr>
          <w:rFonts w:ascii="Times New Roman" w:hAnsi="Times New Roman"/>
          <w:sz w:val="24"/>
          <w:szCs w:val="24"/>
        </w:rPr>
        <w:t>også hvis</w:t>
      </w:r>
      <w:r w:rsidRPr="00A8685D">
        <w:rPr>
          <w:rFonts w:ascii="Times New Roman" w:hAnsi="Times New Roman"/>
          <w:sz w:val="24"/>
          <w:szCs w:val="24"/>
        </w:rPr>
        <w:t xml:space="preserve"> hændelsen eksempelvis i tilfælde af tilintetgørelse af persondata kan være imødegået uden gener for de(n) berørte part(er) jf</w:t>
      </w:r>
      <w:r w:rsidR="00137D5E" w:rsidRPr="00A8685D">
        <w:rPr>
          <w:rFonts w:ascii="Times New Roman" w:hAnsi="Times New Roman"/>
          <w:sz w:val="24"/>
          <w:szCs w:val="24"/>
        </w:rPr>
        <w:t>.</w:t>
      </w:r>
      <w:r w:rsidRPr="00A8685D">
        <w:rPr>
          <w:rFonts w:ascii="Times New Roman" w:hAnsi="Times New Roman"/>
          <w:sz w:val="24"/>
          <w:szCs w:val="24"/>
        </w:rPr>
        <w:t xml:space="preserve"> også §</w:t>
      </w:r>
      <w:r w:rsidR="005E6E1A" w:rsidRPr="00A8685D">
        <w:rPr>
          <w:rFonts w:ascii="Times New Roman" w:hAnsi="Times New Roman"/>
          <w:sz w:val="24"/>
          <w:szCs w:val="24"/>
        </w:rPr>
        <w:t xml:space="preserve"> </w:t>
      </w:r>
      <w:r w:rsidRPr="00A8685D">
        <w:rPr>
          <w:rFonts w:ascii="Times New Roman" w:hAnsi="Times New Roman"/>
          <w:sz w:val="24"/>
          <w:szCs w:val="24"/>
        </w:rPr>
        <w:t>15 stk. 4</w:t>
      </w:r>
      <w:r w:rsidR="001901D9" w:rsidRPr="00A8685D">
        <w:rPr>
          <w:rFonts w:ascii="Times New Roman" w:hAnsi="Times New Roman"/>
          <w:sz w:val="24"/>
          <w:szCs w:val="24"/>
        </w:rPr>
        <w:t xml:space="preserve"> samt bemærkninger til Telelovens</w:t>
      </w:r>
      <w:r w:rsidR="005E6E1A" w:rsidRPr="00A8685D">
        <w:rPr>
          <w:rFonts w:ascii="Times New Roman" w:hAnsi="Times New Roman"/>
          <w:sz w:val="24"/>
          <w:szCs w:val="24"/>
        </w:rPr>
        <w:t xml:space="preserve"> </w:t>
      </w:r>
      <w:r w:rsidR="001901D9" w:rsidRPr="00A8685D">
        <w:rPr>
          <w:rFonts w:ascii="Times New Roman" w:hAnsi="Times New Roman"/>
          <w:sz w:val="24"/>
          <w:szCs w:val="24"/>
        </w:rPr>
        <w:t>§</w:t>
      </w:r>
      <w:r w:rsidR="005E6E1A" w:rsidRPr="00A8685D">
        <w:rPr>
          <w:rFonts w:ascii="Times New Roman" w:hAnsi="Times New Roman"/>
          <w:sz w:val="24"/>
          <w:szCs w:val="24"/>
        </w:rPr>
        <w:t xml:space="preserve"> </w:t>
      </w:r>
      <w:r w:rsidR="001901D9" w:rsidRPr="00A8685D">
        <w:rPr>
          <w:rFonts w:ascii="Times New Roman" w:hAnsi="Times New Roman"/>
          <w:sz w:val="24"/>
          <w:szCs w:val="24"/>
        </w:rPr>
        <w:t>8</w:t>
      </w:r>
      <w:r w:rsidR="0080754D" w:rsidRPr="00A8685D">
        <w:rPr>
          <w:rFonts w:ascii="Times New Roman" w:hAnsi="Times New Roman"/>
          <w:sz w:val="24"/>
          <w:szCs w:val="24"/>
        </w:rPr>
        <w:t>.</w:t>
      </w:r>
    </w:p>
    <w:p w:rsidR="0080754D" w:rsidRPr="00A8685D" w:rsidRDefault="0080754D" w:rsidP="00F470D8">
      <w:pPr>
        <w:rPr>
          <w:rFonts w:ascii="Times New Roman" w:hAnsi="Times New Roman"/>
          <w:sz w:val="24"/>
          <w:szCs w:val="24"/>
        </w:rPr>
      </w:pPr>
      <w:r w:rsidRPr="00A8685D">
        <w:rPr>
          <w:rFonts w:ascii="Times New Roman" w:hAnsi="Times New Roman"/>
          <w:sz w:val="24"/>
          <w:szCs w:val="24"/>
        </w:rPr>
        <w:t xml:space="preserve">Desuden foreslår TI, at det i § 15 stk.1 præciseres, at </w:t>
      </w:r>
      <w:r w:rsidR="00137D5E" w:rsidRPr="00A8685D">
        <w:rPr>
          <w:rFonts w:ascii="Times New Roman" w:hAnsi="Times New Roman"/>
          <w:sz w:val="24"/>
          <w:szCs w:val="24"/>
        </w:rPr>
        <w:t xml:space="preserve">det er </w:t>
      </w:r>
      <w:r w:rsidRPr="00A8685D">
        <w:rPr>
          <w:rFonts w:ascii="Times New Roman" w:hAnsi="Times New Roman"/>
          <w:sz w:val="24"/>
          <w:szCs w:val="24"/>
        </w:rPr>
        <w:t>IT- og Telestyrelsen</w:t>
      </w:r>
      <w:r w:rsidR="00137D5E" w:rsidRPr="00A8685D">
        <w:rPr>
          <w:rFonts w:ascii="Times New Roman" w:hAnsi="Times New Roman"/>
          <w:sz w:val="24"/>
          <w:szCs w:val="24"/>
        </w:rPr>
        <w:t>,</w:t>
      </w:r>
      <w:r w:rsidRPr="00A8685D">
        <w:rPr>
          <w:rFonts w:ascii="Times New Roman" w:hAnsi="Times New Roman"/>
          <w:sz w:val="24"/>
          <w:szCs w:val="24"/>
        </w:rPr>
        <w:t xml:space="preserve"> der er den ansvarlige myndighed for teleområdet på spørgsmålet om persondatasikkerhed således</w:t>
      </w:r>
      <w:r w:rsidR="00D229AC" w:rsidRPr="00A8685D">
        <w:rPr>
          <w:rFonts w:ascii="Times New Roman" w:hAnsi="Times New Roman"/>
          <w:sz w:val="24"/>
          <w:szCs w:val="24"/>
        </w:rPr>
        <w:t>,</w:t>
      </w:r>
      <w:r w:rsidRPr="00A8685D">
        <w:rPr>
          <w:rFonts w:ascii="Times New Roman" w:hAnsi="Times New Roman"/>
          <w:sz w:val="24"/>
          <w:szCs w:val="24"/>
        </w:rPr>
        <w:t xml:space="preserve"> at der ikke opstår tvivl mht. beføjelser og underretningspligt. Det kan eksempelvis ske ved</w:t>
      </w:r>
      <w:r w:rsidR="00137D5E" w:rsidRPr="00A8685D">
        <w:rPr>
          <w:rFonts w:ascii="Times New Roman" w:hAnsi="Times New Roman"/>
          <w:sz w:val="24"/>
          <w:szCs w:val="24"/>
        </w:rPr>
        <w:t>,</w:t>
      </w:r>
      <w:r w:rsidRPr="00A8685D">
        <w:rPr>
          <w:rFonts w:ascii="Times New Roman" w:hAnsi="Times New Roman"/>
          <w:sz w:val="24"/>
          <w:szCs w:val="24"/>
        </w:rPr>
        <w:t xml:space="preserve"> at teksten fra Telelovens § 8 gentages    </w:t>
      </w:r>
    </w:p>
    <w:p w:rsidR="0080754D" w:rsidRPr="00A8685D" w:rsidRDefault="0080754D" w:rsidP="00CF63B0">
      <w:pPr>
        <w:autoSpaceDE w:val="0"/>
        <w:autoSpaceDN w:val="0"/>
        <w:adjustRightInd w:val="0"/>
        <w:ind w:left="720"/>
        <w:rPr>
          <w:rFonts w:ascii="Times New Roman" w:hAnsi="Times New Roman"/>
          <w:i/>
          <w:sz w:val="24"/>
          <w:szCs w:val="24"/>
        </w:rPr>
      </w:pPr>
    </w:p>
    <w:p w:rsidR="0080754D" w:rsidRPr="00A8685D" w:rsidRDefault="0080754D" w:rsidP="0080754D">
      <w:pPr>
        <w:autoSpaceDE w:val="0"/>
        <w:autoSpaceDN w:val="0"/>
        <w:adjustRightInd w:val="0"/>
        <w:ind w:left="720"/>
        <w:rPr>
          <w:rFonts w:ascii="Times New Roman" w:hAnsi="Times New Roman"/>
          <w:i/>
          <w:sz w:val="24"/>
          <w:szCs w:val="24"/>
        </w:rPr>
      </w:pPr>
      <w:r w:rsidRPr="00A8685D">
        <w:rPr>
          <w:rFonts w:ascii="Times New Roman" w:hAnsi="Times New Roman"/>
          <w:i/>
          <w:sz w:val="24"/>
          <w:szCs w:val="24"/>
        </w:rPr>
        <w:t xml:space="preserve">Tjenesteudbydere, jf. § 2, stk. 2, skal ved brud på persondatasikkerheden, jf. § 3, stk. 1, nr. 6, uden unødig forsinkelse underrette IT- og </w:t>
      </w:r>
      <w:r w:rsidR="00325016" w:rsidRPr="00A8685D">
        <w:rPr>
          <w:rFonts w:ascii="Times New Roman" w:hAnsi="Times New Roman"/>
          <w:i/>
          <w:sz w:val="24"/>
          <w:szCs w:val="24"/>
        </w:rPr>
        <w:t>Telestyrelsen som den kompetente</w:t>
      </w:r>
      <w:r w:rsidRPr="00A8685D">
        <w:rPr>
          <w:rFonts w:ascii="Times New Roman" w:hAnsi="Times New Roman"/>
          <w:i/>
          <w:sz w:val="24"/>
          <w:szCs w:val="24"/>
        </w:rPr>
        <w:t xml:space="preserve"> nationale tilsynsmyndighed om bruddet.</w:t>
      </w:r>
    </w:p>
    <w:p w:rsidR="0080754D" w:rsidRPr="00A8685D" w:rsidRDefault="0080754D" w:rsidP="00CF63B0">
      <w:pPr>
        <w:autoSpaceDE w:val="0"/>
        <w:autoSpaceDN w:val="0"/>
        <w:adjustRightInd w:val="0"/>
        <w:ind w:left="720"/>
        <w:rPr>
          <w:rFonts w:ascii="Times New Roman" w:hAnsi="Times New Roman"/>
          <w:i/>
          <w:sz w:val="24"/>
          <w:szCs w:val="24"/>
        </w:rPr>
      </w:pPr>
    </w:p>
    <w:p w:rsidR="001901D9" w:rsidRPr="00A8685D" w:rsidRDefault="001901D9" w:rsidP="00D229AC">
      <w:pPr>
        <w:rPr>
          <w:rFonts w:ascii="Times New Roman" w:hAnsi="Times New Roman"/>
          <w:i/>
          <w:sz w:val="24"/>
          <w:szCs w:val="24"/>
        </w:rPr>
      </w:pPr>
    </w:p>
    <w:p w:rsidR="00C44DE8" w:rsidRPr="00A8685D" w:rsidRDefault="00C44DE8" w:rsidP="00C44DE8">
      <w:pPr>
        <w:autoSpaceDE w:val="0"/>
        <w:autoSpaceDN w:val="0"/>
        <w:adjustRightInd w:val="0"/>
        <w:rPr>
          <w:rFonts w:ascii="Times New Roman" w:hAnsi="Times New Roman"/>
          <w:sz w:val="24"/>
          <w:szCs w:val="24"/>
          <w:u w:val="single"/>
        </w:rPr>
      </w:pPr>
      <w:r w:rsidRPr="00A8685D">
        <w:rPr>
          <w:rFonts w:ascii="Times New Roman" w:hAnsi="Times New Roman"/>
          <w:sz w:val="24"/>
          <w:szCs w:val="24"/>
          <w:u w:val="single"/>
        </w:rPr>
        <w:t>Generelt omkring krav til politikker</w:t>
      </w:r>
    </w:p>
    <w:p w:rsidR="00C44DE8" w:rsidRPr="00A8685D" w:rsidRDefault="00C44DE8" w:rsidP="00C44DE8">
      <w:pPr>
        <w:autoSpaceDE w:val="0"/>
        <w:autoSpaceDN w:val="0"/>
        <w:adjustRightInd w:val="0"/>
        <w:rPr>
          <w:rFonts w:ascii="Times New Roman" w:hAnsi="Times New Roman"/>
          <w:sz w:val="24"/>
          <w:szCs w:val="24"/>
        </w:rPr>
      </w:pPr>
      <w:r w:rsidRPr="00A8685D">
        <w:rPr>
          <w:rFonts w:ascii="Times New Roman" w:hAnsi="Times New Roman"/>
          <w:sz w:val="24"/>
          <w:szCs w:val="24"/>
        </w:rPr>
        <w:t>Bekendtgørelsen introducerer krav om nye politikker. § 5 stiller krav om en informationssikkerhedspolitik, § 7 stiller krav om en sikkerhedspolitik for persondatasikkerheden, § 8 2) stiller krav om en beredskabspolitik, dette dog uden at være særlig specifik. Hertil kommer det utroligt detaljerede krav om indholdet i beredskabsplanerne i § 10 stk. 2 samt en sikringsplan i § 12.</w:t>
      </w:r>
    </w:p>
    <w:p w:rsidR="00C44DE8" w:rsidRPr="00A8685D" w:rsidRDefault="00C44DE8" w:rsidP="00C44DE8">
      <w:pPr>
        <w:autoSpaceDE w:val="0"/>
        <w:autoSpaceDN w:val="0"/>
        <w:adjustRightInd w:val="0"/>
        <w:rPr>
          <w:rFonts w:ascii="Times New Roman" w:hAnsi="Times New Roman"/>
          <w:sz w:val="24"/>
          <w:szCs w:val="24"/>
        </w:rPr>
      </w:pPr>
    </w:p>
    <w:p w:rsidR="00C44DE8" w:rsidRPr="00A8685D" w:rsidRDefault="00C44DE8" w:rsidP="00C44DE8">
      <w:pPr>
        <w:autoSpaceDE w:val="0"/>
        <w:autoSpaceDN w:val="0"/>
        <w:adjustRightInd w:val="0"/>
        <w:rPr>
          <w:rFonts w:ascii="Times New Roman" w:hAnsi="Times New Roman"/>
          <w:sz w:val="24"/>
          <w:szCs w:val="24"/>
        </w:rPr>
      </w:pPr>
      <w:r w:rsidRPr="00A8685D">
        <w:rPr>
          <w:rFonts w:ascii="Times New Roman" w:hAnsi="Times New Roman"/>
          <w:sz w:val="24"/>
          <w:szCs w:val="24"/>
        </w:rPr>
        <w:t>Der mangler klare definitioner tilh</w:t>
      </w:r>
      <w:bookmarkStart w:id="3" w:name="_GoBack"/>
      <w:bookmarkEnd w:id="3"/>
      <w:r w:rsidRPr="00A8685D">
        <w:rPr>
          <w:rFonts w:ascii="Times New Roman" w:hAnsi="Times New Roman"/>
          <w:sz w:val="24"/>
          <w:szCs w:val="24"/>
        </w:rPr>
        <w:t>ørende disse krav – og niveauet af detaljer bør ensrettes. Derudover er det uklart hvad forskellen er mellem de underliggende beredskabsplaner der er nævnt i § 10 og sikringsplanerne i § 12.</w:t>
      </w:r>
    </w:p>
    <w:p w:rsidR="00C44DE8" w:rsidRPr="00A8685D" w:rsidRDefault="00C44DE8" w:rsidP="00C44DE8">
      <w:pPr>
        <w:autoSpaceDE w:val="0"/>
        <w:autoSpaceDN w:val="0"/>
        <w:adjustRightInd w:val="0"/>
        <w:ind w:left="720"/>
        <w:rPr>
          <w:rFonts w:ascii="Times New Roman" w:hAnsi="Times New Roman"/>
          <w:i/>
          <w:sz w:val="24"/>
          <w:szCs w:val="24"/>
        </w:rPr>
      </w:pPr>
    </w:p>
    <w:p w:rsidR="00C44DE8" w:rsidRPr="00A8685D" w:rsidRDefault="00C44DE8" w:rsidP="005E6E1A">
      <w:pPr>
        <w:rPr>
          <w:rFonts w:ascii="Times New Roman" w:hAnsi="Times New Roman"/>
          <w:sz w:val="24"/>
          <w:szCs w:val="24"/>
        </w:rPr>
      </w:pPr>
    </w:p>
    <w:p w:rsidR="005E6E1A" w:rsidRPr="00A8685D" w:rsidRDefault="005E6E1A" w:rsidP="005E6E1A">
      <w:pPr>
        <w:rPr>
          <w:rFonts w:ascii="Times New Roman" w:hAnsi="Times New Roman"/>
          <w:sz w:val="24"/>
          <w:szCs w:val="24"/>
        </w:rPr>
      </w:pPr>
      <w:r w:rsidRPr="00A8685D">
        <w:rPr>
          <w:rFonts w:ascii="Times New Roman" w:hAnsi="Times New Roman"/>
          <w:sz w:val="24"/>
          <w:szCs w:val="24"/>
        </w:rPr>
        <w:t>Såfremt IT- og Telestyrelsen måtte have behov for uddybning af dette høringssvar, stiller TI sig naturligvis til rådighed.</w:t>
      </w:r>
    </w:p>
    <w:p w:rsidR="005E6E1A" w:rsidRPr="00A8685D" w:rsidRDefault="005E6E1A" w:rsidP="00D229AC">
      <w:pPr>
        <w:rPr>
          <w:rFonts w:ascii="Times New Roman" w:hAnsi="Times New Roman"/>
          <w:sz w:val="24"/>
          <w:szCs w:val="24"/>
        </w:rPr>
      </w:pPr>
    </w:p>
    <w:p w:rsidR="005E6E1A" w:rsidRPr="00A8685D" w:rsidRDefault="005E6E1A" w:rsidP="00D229AC">
      <w:pPr>
        <w:rPr>
          <w:rFonts w:ascii="Times New Roman" w:hAnsi="Times New Roman"/>
          <w:sz w:val="24"/>
          <w:szCs w:val="24"/>
        </w:rPr>
      </w:pPr>
    </w:p>
    <w:p w:rsidR="005E6E1A" w:rsidRPr="00A8685D" w:rsidRDefault="005E6E1A" w:rsidP="00D229AC">
      <w:pPr>
        <w:rPr>
          <w:rFonts w:ascii="Times New Roman" w:hAnsi="Times New Roman"/>
          <w:sz w:val="24"/>
          <w:szCs w:val="24"/>
        </w:rPr>
      </w:pPr>
      <w:r w:rsidRPr="00A8685D">
        <w:rPr>
          <w:rFonts w:ascii="Times New Roman" w:hAnsi="Times New Roman"/>
          <w:sz w:val="24"/>
          <w:szCs w:val="24"/>
        </w:rPr>
        <w:t>Med venlig hilsen</w:t>
      </w:r>
    </w:p>
    <w:p w:rsidR="005E6E1A" w:rsidRPr="00A8685D" w:rsidRDefault="005E6E1A" w:rsidP="00D229AC">
      <w:pPr>
        <w:rPr>
          <w:rFonts w:ascii="Times New Roman" w:hAnsi="Times New Roman"/>
          <w:sz w:val="24"/>
          <w:szCs w:val="24"/>
        </w:rPr>
      </w:pPr>
    </w:p>
    <w:p w:rsidR="005E6E1A" w:rsidRPr="00A8685D" w:rsidRDefault="005E6E1A" w:rsidP="00D229AC">
      <w:pPr>
        <w:rPr>
          <w:rFonts w:ascii="Times New Roman" w:hAnsi="Times New Roman"/>
          <w:sz w:val="24"/>
          <w:szCs w:val="24"/>
        </w:rPr>
      </w:pPr>
    </w:p>
    <w:p w:rsidR="005E6E1A" w:rsidRPr="00A8685D" w:rsidRDefault="005E6E1A" w:rsidP="00D229AC">
      <w:pPr>
        <w:rPr>
          <w:rFonts w:ascii="Times New Roman" w:hAnsi="Times New Roman"/>
          <w:sz w:val="24"/>
          <w:szCs w:val="24"/>
        </w:rPr>
      </w:pPr>
      <w:r w:rsidRPr="00A8685D">
        <w:rPr>
          <w:rFonts w:ascii="Times New Roman" w:hAnsi="Times New Roman"/>
          <w:sz w:val="24"/>
          <w:szCs w:val="24"/>
        </w:rPr>
        <w:t>Jakob Willer</w:t>
      </w:r>
    </w:p>
    <w:p w:rsidR="005E6E1A" w:rsidRPr="00A8685D" w:rsidRDefault="005E6E1A" w:rsidP="00D229AC">
      <w:pPr>
        <w:rPr>
          <w:rFonts w:ascii="Times New Roman" w:hAnsi="Times New Roman"/>
          <w:sz w:val="24"/>
          <w:szCs w:val="24"/>
        </w:rPr>
      </w:pPr>
      <w:r w:rsidRPr="00A8685D">
        <w:rPr>
          <w:rFonts w:ascii="Times New Roman" w:hAnsi="Times New Roman"/>
          <w:sz w:val="24"/>
          <w:szCs w:val="24"/>
        </w:rPr>
        <w:t>Direktør</w:t>
      </w:r>
    </w:p>
    <w:sectPr w:rsidR="005E6E1A" w:rsidRPr="00A8685D" w:rsidSect="002B2043">
      <w:headerReference w:type="default" r:id="rId9"/>
      <w:footerReference w:type="even" r:id="rId10"/>
      <w:footerReference w:type="default" r:id="rId11"/>
      <w:headerReference w:type="first" r:id="rId12"/>
      <w:footerReference w:type="first" r:id="rId13"/>
      <w:type w:val="continuous"/>
      <w:pgSz w:w="11906" w:h="16838" w:code="9"/>
      <w:pgMar w:top="2410" w:right="2268" w:bottom="249" w:left="1474"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E8" w:rsidRDefault="00C44DE8">
      <w:r>
        <w:separator/>
      </w:r>
    </w:p>
  </w:endnote>
  <w:endnote w:type="continuationSeparator" w:id="0">
    <w:p w:rsidR="00C44DE8" w:rsidRDefault="00C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E8" w:rsidRDefault="00C44DE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C44DE8" w:rsidRDefault="00C44DE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E8" w:rsidRDefault="00C44DE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E8" w:rsidRDefault="00C44DE8">
    <w:pPr>
      <w:pStyle w:val="Sidefod"/>
    </w:pPr>
  </w:p>
  <w:p w:rsidR="00C44DE8" w:rsidRDefault="00C44DE8">
    <w:pPr>
      <w:pStyle w:val="Sidefod"/>
    </w:pPr>
  </w:p>
  <w:p w:rsidR="00C44DE8" w:rsidRDefault="00C44DE8">
    <w:pPr>
      <w:pStyle w:val="Sidefod"/>
    </w:pPr>
  </w:p>
  <w:p w:rsidR="00C44DE8" w:rsidRDefault="00C44DE8">
    <w:pPr>
      <w:pStyle w:val="Sidefod"/>
    </w:pPr>
  </w:p>
  <w:p w:rsidR="00C44DE8" w:rsidRDefault="00C44DE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E8" w:rsidRDefault="00C44DE8">
      <w:r>
        <w:separator/>
      </w:r>
    </w:p>
  </w:footnote>
  <w:footnote w:type="continuationSeparator" w:id="0">
    <w:p w:rsidR="00C44DE8" w:rsidRDefault="00C44DE8">
      <w:r>
        <w:continuationSeparator/>
      </w:r>
    </w:p>
  </w:footnote>
  <w:footnote w:id="1">
    <w:p w:rsidR="00C44DE8" w:rsidRPr="00EA59C7" w:rsidRDefault="00C44DE8">
      <w:pPr>
        <w:pStyle w:val="Fodnotetekst"/>
        <w:rPr>
          <w:lang w:val="en-US"/>
        </w:rPr>
      </w:pPr>
      <w:r>
        <w:rPr>
          <w:rStyle w:val="Fodnotehenvisning"/>
        </w:rPr>
        <w:footnoteRef/>
      </w:r>
      <w:r w:rsidRPr="00EA59C7">
        <w:rPr>
          <w:lang w:val="en-US"/>
        </w:rPr>
        <w:t xml:space="preserve"> </w:t>
      </w:r>
      <w:r w:rsidRPr="00EA59C7">
        <w:rPr>
          <w:bCs/>
          <w:lang w:val="en-US"/>
        </w:rPr>
        <w:t>Directive 97/33/EC of the European Parliament and of the Council of 30 June 1997 on interconnection in Telecommunications with regard to ensuring universal service and interoperability through application of the principles of Open Network Provision (ONP)</w:t>
      </w:r>
    </w:p>
  </w:footnote>
  <w:footnote w:id="2">
    <w:p w:rsidR="00C44DE8" w:rsidRPr="00E8589C" w:rsidRDefault="00C44DE8" w:rsidP="00E8589C">
      <w:pPr>
        <w:pStyle w:val="Fodnotetekst"/>
        <w:rPr>
          <w:lang w:val="en-US"/>
        </w:rPr>
      </w:pPr>
      <w:r>
        <w:rPr>
          <w:rStyle w:val="Fodnotehenvisning"/>
        </w:rPr>
        <w:footnoteRef/>
      </w:r>
      <w:r w:rsidRPr="00E8589C">
        <w:rPr>
          <w:lang w:val="en-US"/>
        </w:rPr>
        <w:t xml:space="preserve"> </w:t>
      </w:r>
      <w:r w:rsidRPr="00E8589C">
        <w:rPr>
          <w:bCs/>
          <w:lang w:val="en-US"/>
        </w:rPr>
        <w:t xml:space="preserve">CEPT / ECTRA Recommendation of 12 March 1998 on a Set of Guidelines on Responsibilities for ensuring maintenance of Network Integrity (NI) in an interconnected environment </w:t>
      </w:r>
      <w:r>
        <w:rPr>
          <w:bCs/>
          <w:lang w:val="en-US"/>
        </w:rPr>
        <w:t xml:space="preserve"> </w:t>
      </w:r>
      <w:r w:rsidRPr="00E8589C">
        <w:rPr>
          <w:bCs/>
          <w:lang w:val="en-US"/>
        </w:rPr>
        <w:t>(ECTRA/REC(98)01)</w:t>
      </w:r>
    </w:p>
  </w:footnote>
  <w:footnote w:id="3">
    <w:p w:rsidR="00C44DE8" w:rsidRPr="00C72FB2" w:rsidRDefault="00C44DE8">
      <w:pPr>
        <w:pStyle w:val="Fodnotetekst"/>
        <w:rPr>
          <w:b/>
          <w:lang w:val="en-US"/>
        </w:rPr>
      </w:pPr>
      <w:r>
        <w:rPr>
          <w:rStyle w:val="Fodnotehenvisning"/>
        </w:rPr>
        <w:footnoteRef/>
      </w:r>
      <w:r w:rsidRPr="00C72FB2">
        <w:rPr>
          <w:lang w:val="en-US"/>
        </w:rPr>
        <w:t xml:space="preserve"> </w:t>
      </w:r>
      <w:proofErr w:type="spellStart"/>
      <w:r>
        <w:rPr>
          <w:lang w:val="en-US"/>
        </w:rPr>
        <w:t>Jf</w:t>
      </w:r>
      <w:proofErr w:type="spellEnd"/>
      <w:r>
        <w:rPr>
          <w:lang w:val="en-US"/>
        </w:rPr>
        <w:t xml:space="preserve">. </w:t>
      </w:r>
      <w:proofErr w:type="spellStart"/>
      <w:r>
        <w:rPr>
          <w:lang w:val="en-US"/>
        </w:rPr>
        <w:t>også</w:t>
      </w:r>
      <w:proofErr w:type="spellEnd"/>
      <w:r>
        <w:rPr>
          <w:lang w:val="en-US"/>
        </w:rPr>
        <w:t xml:space="preserve">:  (8) </w:t>
      </w:r>
      <w:r w:rsidRPr="00C72FB2">
        <w:rPr>
          <w:i/>
          <w:lang w:val="en-US"/>
        </w:rPr>
        <w:t>The only essential requirements derogating from Article 59 which could justify restrictions on the use of the public network are the maintenance of the integrity of the network, security of network operations and in justified cases, interoperability and data protection</w:t>
      </w:r>
      <w:r w:rsidRPr="00C72FB2">
        <w:rPr>
          <w:lang w:val="en-US"/>
        </w:rPr>
        <w:t>.</w:t>
      </w:r>
      <w:r>
        <w:rPr>
          <w:lang w:val="en-US"/>
        </w:rPr>
        <w:t xml:space="preserve">  </w:t>
      </w:r>
      <w:r w:rsidRPr="00C72FB2">
        <w:rPr>
          <w:rStyle w:val="Strk"/>
          <w:b w:val="0"/>
          <w:lang w:val="en-US"/>
        </w:rPr>
        <w:t>Commission Directive 90/388/EEC of 28 June 1990 on competition in the markets for telecommunications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E8" w:rsidRDefault="00C44DE8">
    <w:pPr>
      <w:pStyle w:val="Sidenr2ff"/>
      <w:framePr w:wrap="around"/>
    </w:pPr>
    <w:r>
      <w:rPr>
        <w:rStyle w:val="Sidetal"/>
      </w:rPr>
      <w:fldChar w:fldCharType="begin"/>
    </w:r>
    <w:r>
      <w:rPr>
        <w:rStyle w:val="Sidetal"/>
      </w:rPr>
      <w:instrText xml:space="preserve"> PAGE </w:instrText>
    </w:r>
    <w:r>
      <w:rPr>
        <w:rStyle w:val="Sidetal"/>
      </w:rPr>
      <w:fldChar w:fldCharType="separate"/>
    </w:r>
    <w:r w:rsidR="00A8685D">
      <w:rPr>
        <w:rStyle w:val="Sidetal"/>
        <w:noProof/>
      </w:rPr>
      <w:t>2</w:t>
    </w:r>
    <w:r>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C44DE8">
      <w:tc>
        <w:tcPr>
          <w:tcW w:w="7441" w:type="dxa"/>
          <w:tcBorders>
            <w:top w:val="nil"/>
            <w:left w:val="nil"/>
            <w:bottom w:val="nil"/>
            <w:right w:val="nil"/>
          </w:tcBorders>
        </w:tcPr>
        <w:p w:rsidR="00C44DE8" w:rsidRDefault="00C44DE8" w:rsidP="00074A95">
          <w:pPr>
            <w:pStyle w:val="Overskrift1"/>
            <w:tabs>
              <w:tab w:val="left" w:pos="7371"/>
              <w:tab w:val="right" w:pos="9356"/>
            </w:tabs>
            <w:ind w:right="-2481"/>
            <w:rPr>
              <w:sz w:val="16"/>
            </w:rPr>
          </w:pPr>
        </w:p>
        <w:p w:rsidR="00C44DE8" w:rsidRPr="00F86EB9" w:rsidRDefault="00C44DE8" w:rsidP="00074A95">
          <w:pPr>
            <w:pStyle w:val="Overskrift1"/>
            <w:tabs>
              <w:tab w:val="left" w:pos="7371"/>
              <w:tab w:val="right" w:pos="9356"/>
            </w:tabs>
            <w:ind w:right="-2481"/>
            <w:rPr>
              <w:color w:val="777777"/>
            </w:rPr>
          </w:pPr>
          <w:smartTag w:uri="urn:schemas-microsoft-com:office:smarttags" w:element="PersonName">
            <w:r w:rsidRPr="00F86EB9">
              <w:rPr>
                <w:color w:val="777777"/>
                <w:sz w:val="32"/>
              </w:rPr>
              <w:t>Telekommunikationsindustrien i Danmark</w:t>
            </w:r>
          </w:smartTag>
          <w:r w:rsidRPr="00F86EB9">
            <w:rPr>
              <w:color w:val="777777"/>
              <w:sz w:val="20"/>
            </w:rPr>
            <w:t xml:space="preserve"> </w:t>
          </w:r>
        </w:p>
        <w:p w:rsidR="00C44DE8" w:rsidRDefault="00C44DE8" w:rsidP="00074A95">
          <w:pPr>
            <w:pStyle w:val="Overskrift1"/>
            <w:tabs>
              <w:tab w:val="left" w:pos="7371"/>
              <w:tab w:val="right" w:pos="9356"/>
            </w:tabs>
            <w:ind w:right="-2481"/>
          </w:pPr>
          <w:proofErr w:type="spellStart"/>
          <w:r w:rsidRPr="00F86EB9">
            <w:rPr>
              <w:color w:val="777777"/>
            </w:rPr>
            <w:t>Telecommunication</w:t>
          </w:r>
          <w:proofErr w:type="spellEnd"/>
          <w:r w:rsidRPr="00F86EB9">
            <w:rPr>
              <w:color w:val="777777"/>
            </w:rPr>
            <w:t xml:space="preserve"> Industries Association in Denmark</w:t>
          </w:r>
        </w:p>
      </w:tc>
      <w:tc>
        <w:tcPr>
          <w:tcW w:w="2337" w:type="dxa"/>
          <w:tcBorders>
            <w:top w:val="nil"/>
            <w:left w:val="nil"/>
            <w:bottom w:val="nil"/>
            <w:right w:val="nil"/>
          </w:tcBorders>
        </w:tcPr>
        <w:p w:rsidR="00C44DE8" w:rsidRPr="00440DA0" w:rsidRDefault="00C44DE8" w:rsidP="00074A95">
          <w:pPr>
            <w:pStyle w:val="Overskrift1"/>
            <w:tabs>
              <w:tab w:val="left" w:pos="7371"/>
              <w:tab w:val="right" w:pos="9356"/>
            </w:tabs>
            <w:rPr>
              <w:color w:val="0033CC"/>
              <w:sz w:val="32"/>
              <w:szCs w:val="144"/>
            </w:rPr>
          </w:pPr>
          <w:r>
            <w:rPr>
              <w:sz w:val="144"/>
            </w:rPr>
            <w:t xml:space="preserve"> </w:t>
          </w:r>
          <w:r w:rsidRPr="00440DA0">
            <w:rPr>
              <w:color w:val="0033CC"/>
              <w:sz w:val="144"/>
              <w:szCs w:val="144"/>
            </w:rPr>
            <w:t>TI</w:t>
          </w:r>
        </w:p>
      </w:tc>
    </w:tr>
  </w:tbl>
  <w:p w:rsidR="00C44DE8" w:rsidRDefault="00C44DE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A1A"/>
    <w:multiLevelType w:val="multilevel"/>
    <w:tmpl w:val="267262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921746E"/>
    <w:multiLevelType w:val="hybridMultilevel"/>
    <w:tmpl w:val="066CBF9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0C135A8D"/>
    <w:multiLevelType w:val="hybridMultilevel"/>
    <w:tmpl w:val="121AD6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CA09C2"/>
    <w:multiLevelType w:val="hybridMultilevel"/>
    <w:tmpl w:val="28464F12"/>
    <w:lvl w:ilvl="0" w:tplc="45764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EC23BCD"/>
    <w:multiLevelType w:val="hybridMultilevel"/>
    <w:tmpl w:val="1EC26A06"/>
    <w:lvl w:ilvl="0" w:tplc="DF44F546">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21766701"/>
    <w:multiLevelType w:val="hybridMultilevel"/>
    <w:tmpl w:val="D8A23A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25723170"/>
    <w:multiLevelType w:val="hybridMultilevel"/>
    <w:tmpl w:val="0792B92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nsid w:val="28F91F0A"/>
    <w:multiLevelType w:val="hybridMultilevel"/>
    <w:tmpl w:val="9DCC26E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968285B"/>
    <w:multiLevelType w:val="hybridMultilevel"/>
    <w:tmpl w:val="ADD8DBC6"/>
    <w:lvl w:ilvl="0" w:tplc="45764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B313291"/>
    <w:multiLevelType w:val="hybridMultilevel"/>
    <w:tmpl w:val="511E6084"/>
    <w:lvl w:ilvl="0" w:tplc="04060015">
      <w:start w:val="1"/>
      <w:numFmt w:val="upperLetter"/>
      <w:lvlText w:val="%1."/>
      <w:lvlJc w:val="left"/>
      <w:pPr>
        <w:tabs>
          <w:tab w:val="num" w:pos="360"/>
        </w:tabs>
        <w:ind w:left="360" w:hanging="360"/>
      </w:pPr>
      <w:rPr>
        <w:rFonts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B5518F1"/>
    <w:multiLevelType w:val="hybridMultilevel"/>
    <w:tmpl w:val="E4529C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2DBF3210"/>
    <w:multiLevelType w:val="hybridMultilevel"/>
    <w:tmpl w:val="1C122AC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30B82ED4"/>
    <w:multiLevelType w:val="hybridMultilevel"/>
    <w:tmpl w:val="4D6E0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2AB7B7B"/>
    <w:multiLevelType w:val="hybridMultilevel"/>
    <w:tmpl w:val="A9443A86"/>
    <w:lvl w:ilvl="0" w:tplc="DF44F546">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357F78B0"/>
    <w:multiLevelType w:val="hybridMultilevel"/>
    <w:tmpl w:val="151646C2"/>
    <w:lvl w:ilvl="0" w:tplc="0F6CFB00">
      <w:start w:val="2"/>
      <w:numFmt w:val="upperLetter"/>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35BC2B11"/>
    <w:multiLevelType w:val="hybridMultilevel"/>
    <w:tmpl w:val="D29E84C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6353D62"/>
    <w:multiLevelType w:val="multilevel"/>
    <w:tmpl w:val="28464F1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7376946"/>
    <w:multiLevelType w:val="hybridMultilevel"/>
    <w:tmpl w:val="AC42D9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AAA3C0A"/>
    <w:multiLevelType w:val="multilevel"/>
    <w:tmpl w:val="4A9814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763607D"/>
    <w:multiLevelType w:val="hybridMultilevel"/>
    <w:tmpl w:val="E954D6F2"/>
    <w:lvl w:ilvl="0" w:tplc="45764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EA3159F"/>
    <w:multiLevelType w:val="hybridMultilevel"/>
    <w:tmpl w:val="4A9814F8"/>
    <w:lvl w:ilvl="0" w:tplc="DF44F546">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51770E64"/>
    <w:multiLevelType w:val="multilevel"/>
    <w:tmpl w:val="4A9814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5B82EAE"/>
    <w:multiLevelType w:val="hybridMultilevel"/>
    <w:tmpl w:val="2672627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5A9310EE"/>
    <w:multiLevelType w:val="hybridMultilevel"/>
    <w:tmpl w:val="53B6E3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5BB5044D"/>
    <w:multiLevelType w:val="hybridMultilevel"/>
    <w:tmpl w:val="AC5272D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5E522C55"/>
    <w:multiLevelType w:val="hybridMultilevel"/>
    <w:tmpl w:val="A724ADD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6">
    <w:nsid w:val="5F4227D1"/>
    <w:multiLevelType w:val="multilevel"/>
    <w:tmpl w:val="81D2C6B6"/>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4124E18"/>
    <w:multiLevelType w:val="multilevel"/>
    <w:tmpl w:val="267262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23525D7"/>
    <w:multiLevelType w:val="hybridMultilevel"/>
    <w:tmpl w:val="BD4E0F9C"/>
    <w:lvl w:ilvl="0" w:tplc="0406000F">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
  </w:num>
  <w:num w:numId="3">
    <w:abstractNumId w:val="6"/>
  </w:num>
  <w:num w:numId="4">
    <w:abstractNumId w:val="1"/>
  </w:num>
  <w:num w:numId="5">
    <w:abstractNumId w:val="5"/>
  </w:num>
  <w:num w:numId="6">
    <w:abstractNumId w:val="7"/>
  </w:num>
  <w:num w:numId="7">
    <w:abstractNumId w:val="23"/>
  </w:num>
  <w:num w:numId="8">
    <w:abstractNumId w:val="10"/>
  </w:num>
  <w:num w:numId="9">
    <w:abstractNumId w:val="22"/>
  </w:num>
  <w:num w:numId="10">
    <w:abstractNumId w:val="0"/>
  </w:num>
  <w:num w:numId="11">
    <w:abstractNumId w:val="27"/>
  </w:num>
  <w:num w:numId="12">
    <w:abstractNumId w:val="19"/>
  </w:num>
  <w:num w:numId="13">
    <w:abstractNumId w:val="15"/>
  </w:num>
  <w:num w:numId="14">
    <w:abstractNumId w:val="20"/>
  </w:num>
  <w:num w:numId="15">
    <w:abstractNumId w:val="25"/>
  </w:num>
  <w:num w:numId="16">
    <w:abstractNumId w:val="8"/>
  </w:num>
  <w:num w:numId="17">
    <w:abstractNumId w:val="3"/>
  </w:num>
  <w:num w:numId="18">
    <w:abstractNumId w:val="16"/>
  </w:num>
  <w:num w:numId="19">
    <w:abstractNumId w:val="9"/>
  </w:num>
  <w:num w:numId="20">
    <w:abstractNumId w:val="21"/>
  </w:num>
  <w:num w:numId="21">
    <w:abstractNumId w:val="14"/>
  </w:num>
  <w:num w:numId="22">
    <w:abstractNumId w:val="26"/>
  </w:num>
  <w:num w:numId="23">
    <w:abstractNumId w:val="18"/>
  </w:num>
  <w:num w:numId="24">
    <w:abstractNumId w:val="11"/>
  </w:num>
  <w:num w:numId="25">
    <w:abstractNumId w:val="24"/>
  </w:num>
  <w:num w:numId="26">
    <w:abstractNumId w:val="13"/>
  </w:num>
  <w:num w:numId="27">
    <w:abstractNumId w:val="12"/>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C"/>
    <w:rsid w:val="00025ABB"/>
    <w:rsid w:val="00055D0C"/>
    <w:rsid w:val="0007411D"/>
    <w:rsid w:val="00074A95"/>
    <w:rsid w:val="00077422"/>
    <w:rsid w:val="000862EB"/>
    <w:rsid w:val="00086680"/>
    <w:rsid w:val="000D0466"/>
    <w:rsid w:val="000E00A2"/>
    <w:rsid w:val="000E7E7A"/>
    <w:rsid w:val="000F1D57"/>
    <w:rsid w:val="00113947"/>
    <w:rsid w:val="0013112B"/>
    <w:rsid w:val="0013362B"/>
    <w:rsid w:val="00137D5E"/>
    <w:rsid w:val="001423F4"/>
    <w:rsid w:val="00165EAE"/>
    <w:rsid w:val="0018773A"/>
    <w:rsid w:val="001901D9"/>
    <w:rsid w:val="00190983"/>
    <w:rsid w:val="001F3DA0"/>
    <w:rsid w:val="002957D1"/>
    <w:rsid w:val="002A684A"/>
    <w:rsid w:val="002B2043"/>
    <w:rsid w:val="002D3FD9"/>
    <w:rsid w:val="002E1490"/>
    <w:rsid w:val="002E523F"/>
    <w:rsid w:val="00303290"/>
    <w:rsid w:val="0031469A"/>
    <w:rsid w:val="003177C0"/>
    <w:rsid w:val="00325016"/>
    <w:rsid w:val="0033076E"/>
    <w:rsid w:val="0034742E"/>
    <w:rsid w:val="0038471C"/>
    <w:rsid w:val="003942F1"/>
    <w:rsid w:val="003A0150"/>
    <w:rsid w:val="003A1FE0"/>
    <w:rsid w:val="003B2336"/>
    <w:rsid w:val="003B6AE3"/>
    <w:rsid w:val="003C1492"/>
    <w:rsid w:val="003C68FB"/>
    <w:rsid w:val="003C7425"/>
    <w:rsid w:val="00410CD5"/>
    <w:rsid w:val="00413926"/>
    <w:rsid w:val="00440DA0"/>
    <w:rsid w:val="004858C3"/>
    <w:rsid w:val="004B3B5F"/>
    <w:rsid w:val="004E3EDE"/>
    <w:rsid w:val="004E53DA"/>
    <w:rsid w:val="00512D1E"/>
    <w:rsid w:val="005260CC"/>
    <w:rsid w:val="005820B5"/>
    <w:rsid w:val="005A091F"/>
    <w:rsid w:val="005A79E4"/>
    <w:rsid w:val="005C03A2"/>
    <w:rsid w:val="005E6E1A"/>
    <w:rsid w:val="00611DD2"/>
    <w:rsid w:val="00631964"/>
    <w:rsid w:val="006C3C63"/>
    <w:rsid w:val="006C6D75"/>
    <w:rsid w:val="006F11E8"/>
    <w:rsid w:val="006F7EF2"/>
    <w:rsid w:val="00704DD3"/>
    <w:rsid w:val="007205B7"/>
    <w:rsid w:val="00723E17"/>
    <w:rsid w:val="00741FE1"/>
    <w:rsid w:val="00763D40"/>
    <w:rsid w:val="00767977"/>
    <w:rsid w:val="007824F4"/>
    <w:rsid w:val="0078332F"/>
    <w:rsid w:val="0080374C"/>
    <w:rsid w:val="0080754D"/>
    <w:rsid w:val="00826CD4"/>
    <w:rsid w:val="00837FEF"/>
    <w:rsid w:val="00852D04"/>
    <w:rsid w:val="008A1CB6"/>
    <w:rsid w:val="008B15D2"/>
    <w:rsid w:val="008C256C"/>
    <w:rsid w:val="008C46B8"/>
    <w:rsid w:val="008C63BF"/>
    <w:rsid w:val="008F1AF0"/>
    <w:rsid w:val="0093589B"/>
    <w:rsid w:val="009411AC"/>
    <w:rsid w:val="0098473E"/>
    <w:rsid w:val="009B1218"/>
    <w:rsid w:val="009B5528"/>
    <w:rsid w:val="009D46BB"/>
    <w:rsid w:val="009D7E6B"/>
    <w:rsid w:val="00A01924"/>
    <w:rsid w:val="00A077E4"/>
    <w:rsid w:val="00A2116A"/>
    <w:rsid w:val="00A334B1"/>
    <w:rsid w:val="00A47EC9"/>
    <w:rsid w:val="00A75C80"/>
    <w:rsid w:val="00A8685D"/>
    <w:rsid w:val="00AC43E1"/>
    <w:rsid w:val="00B04D5C"/>
    <w:rsid w:val="00BC1019"/>
    <w:rsid w:val="00BC59A7"/>
    <w:rsid w:val="00BD792E"/>
    <w:rsid w:val="00BE6D8B"/>
    <w:rsid w:val="00BF451F"/>
    <w:rsid w:val="00C27611"/>
    <w:rsid w:val="00C44DE8"/>
    <w:rsid w:val="00C64D4F"/>
    <w:rsid w:val="00C67A63"/>
    <w:rsid w:val="00C72FB2"/>
    <w:rsid w:val="00C913B7"/>
    <w:rsid w:val="00CE19A3"/>
    <w:rsid w:val="00CF21DB"/>
    <w:rsid w:val="00CF63B0"/>
    <w:rsid w:val="00D229AC"/>
    <w:rsid w:val="00D27FF1"/>
    <w:rsid w:val="00D54EE1"/>
    <w:rsid w:val="00D56D76"/>
    <w:rsid w:val="00D92EA5"/>
    <w:rsid w:val="00DD0DAD"/>
    <w:rsid w:val="00DD3E19"/>
    <w:rsid w:val="00E075F0"/>
    <w:rsid w:val="00E23610"/>
    <w:rsid w:val="00E3269B"/>
    <w:rsid w:val="00E50206"/>
    <w:rsid w:val="00E67D26"/>
    <w:rsid w:val="00E7763E"/>
    <w:rsid w:val="00E8002C"/>
    <w:rsid w:val="00E8589C"/>
    <w:rsid w:val="00EA59C7"/>
    <w:rsid w:val="00EE1F1A"/>
    <w:rsid w:val="00EE2B16"/>
    <w:rsid w:val="00EE2F15"/>
    <w:rsid w:val="00EF55A9"/>
    <w:rsid w:val="00F07041"/>
    <w:rsid w:val="00F11DC3"/>
    <w:rsid w:val="00F37A99"/>
    <w:rsid w:val="00F43E42"/>
    <w:rsid w:val="00F470D8"/>
    <w:rsid w:val="00F55720"/>
    <w:rsid w:val="00F6329C"/>
    <w:rsid w:val="00F7071F"/>
    <w:rsid w:val="00F86EB9"/>
    <w:rsid w:val="00FA2A2C"/>
    <w:rsid w:val="00FB6FAC"/>
    <w:rsid w:val="00FC00BA"/>
    <w:rsid w:val="00FC3987"/>
    <w:rsid w:val="00FF165D"/>
    <w:rsid w:val="00FF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218"/>
    <w:rPr>
      <w:rFonts w:ascii="NewCenturySchlbk" w:hAnsi="NewCenturySchlbk"/>
      <w:sz w:val="23"/>
    </w:rPr>
  </w:style>
  <w:style w:type="paragraph" w:styleId="Overskrift1">
    <w:name w:val="heading 1"/>
    <w:basedOn w:val="Normal"/>
    <w:next w:val="Normal"/>
    <w:qFormat/>
    <w:rsid w:val="009B1218"/>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9B1218"/>
    <w:pPr>
      <w:tabs>
        <w:tab w:val="center" w:pos="4153"/>
        <w:tab w:val="right" w:pos="8306"/>
      </w:tabs>
    </w:pPr>
  </w:style>
  <w:style w:type="character" w:styleId="Sidetal">
    <w:name w:val="page number"/>
    <w:basedOn w:val="Standardskrifttypeiafsnit"/>
    <w:rsid w:val="009B1218"/>
  </w:style>
  <w:style w:type="paragraph" w:styleId="Sidehoved">
    <w:name w:val="header"/>
    <w:basedOn w:val="Normal"/>
    <w:rsid w:val="009B1218"/>
    <w:pPr>
      <w:tabs>
        <w:tab w:val="center" w:pos="4819"/>
        <w:tab w:val="right" w:pos="9638"/>
      </w:tabs>
    </w:pPr>
  </w:style>
  <w:style w:type="paragraph" w:styleId="Dato">
    <w:name w:val="Date"/>
    <w:basedOn w:val="Normal"/>
    <w:rsid w:val="009B1218"/>
    <w:pPr>
      <w:framePr w:hSpace="142" w:vSpace="142" w:wrap="around" w:vAnchor="page" w:hAnchor="page" w:x="9300" w:y="2836"/>
    </w:pPr>
  </w:style>
  <w:style w:type="paragraph" w:customStyle="1" w:styleId="Navn">
    <w:name w:val="Navn"/>
    <w:basedOn w:val="Normal"/>
    <w:rsid w:val="009B1218"/>
    <w:pPr>
      <w:framePr w:w="4536" w:h="3402" w:wrap="notBeside" w:vAnchor="page" w:hAnchor="margin" w:y="2269"/>
    </w:pPr>
  </w:style>
  <w:style w:type="character" w:styleId="Hyperlink">
    <w:name w:val="Hyperlink"/>
    <w:basedOn w:val="Standardskrifttypeiafsnit"/>
    <w:rsid w:val="00EE1F1A"/>
    <w:rPr>
      <w:color w:val="0000FF"/>
      <w:u w:val="single"/>
    </w:rPr>
  </w:style>
  <w:style w:type="paragraph" w:customStyle="1" w:styleId="Sidenr2ff">
    <w:name w:val="Sidenr 2ff"/>
    <w:basedOn w:val="Sidehoved"/>
    <w:rsid w:val="009B1218"/>
    <w:pPr>
      <w:framePr w:hSpace="142" w:vSpace="142" w:wrap="around" w:vAnchor="page" w:hAnchor="page" w:x="10491" w:y="1419"/>
    </w:pPr>
  </w:style>
  <w:style w:type="paragraph" w:customStyle="1" w:styleId="Default">
    <w:name w:val="Default"/>
    <w:basedOn w:val="Normal"/>
    <w:rsid w:val="00EE1F1A"/>
    <w:rPr>
      <w:rFonts w:ascii="Verdana" w:hAnsi="Verdana"/>
      <w:b/>
      <w:bCs/>
      <w:sz w:val="20"/>
    </w:rPr>
  </w:style>
  <w:style w:type="paragraph" w:styleId="Fodnotetekst">
    <w:name w:val="footnote text"/>
    <w:basedOn w:val="Normal"/>
    <w:semiHidden/>
    <w:rsid w:val="00EE1F1A"/>
    <w:rPr>
      <w:rFonts w:ascii="Times New Roman" w:hAnsi="Times New Roman"/>
      <w:sz w:val="20"/>
    </w:rPr>
  </w:style>
  <w:style w:type="character" w:styleId="Fodnotehenvisning">
    <w:name w:val="footnote reference"/>
    <w:basedOn w:val="Standardskrifttypeiafsnit"/>
    <w:semiHidden/>
    <w:rsid w:val="00EE1F1A"/>
    <w:rPr>
      <w:vertAlign w:val="superscript"/>
    </w:rPr>
  </w:style>
  <w:style w:type="paragraph" w:styleId="Markeringsbobletekst">
    <w:name w:val="Balloon Text"/>
    <w:basedOn w:val="Normal"/>
    <w:semiHidden/>
    <w:rsid w:val="00611DD2"/>
    <w:rPr>
      <w:rFonts w:ascii="Tahoma" w:hAnsi="Tahoma" w:cs="Tahoma"/>
      <w:sz w:val="16"/>
      <w:szCs w:val="16"/>
    </w:rPr>
  </w:style>
  <w:style w:type="paragraph" w:styleId="Brdtekst">
    <w:name w:val="Body Text"/>
    <w:basedOn w:val="Normal"/>
    <w:autoRedefine/>
    <w:rsid w:val="00077422"/>
    <w:pPr>
      <w:spacing w:after="240"/>
      <w:jc w:val="both"/>
    </w:pPr>
    <w:rPr>
      <w:rFonts w:ascii="Times New Roman" w:hAnsi="Times New Roman"/>
      <w:sz w:val="20"/>
      <w:lang w:val="en-GB" w:eastAsia="en-GB"/>
    </w:rPr>
  </w:style>
  <w:style w:type="character" w:styleId="Kommentarhenvisning">
    <w:name w:val="annotation reference"/>
    <w:basedOn w:val="Standardskrifttypeiafsnit"/>
    <w:semiHidden/>
    <w:rsid w:val="003A0150"/>
    <w:rPr>
      <w:sz w:val="16"/>
      <w:szCs w:val="16"/>
    </w:rPr>
  </w:style>
  <w:style w:type="paragraph" w:styleId="Kommentartekst">
    <w:name w:val="annotation text"/>
    <w:basedOn w:val="Normal"/>
    <w:semiHidden/>
    <w:rsid w:val="003A0150"/>
    <w:rPr>
      <w:rFonts w:ascii="Verdana" w:hAnsi="Verdana"/>
      <w:sz w:val="20"/>
      <w:lang w:eastAsia="en-US"/>
    </w:rPr>
  </w:style>
  <w:style w:type="character" w:styleId="Fremhv">
    <w:name w:val="Emphasis"/>
    <w:basedOn w:val="Standardskrifttypeiafsnit"/>
    <w:qFormat/>
    <w:rsid w:val="005C03A2"/>
    <w:rPr>
      <w:i/>
      <w:iCs/>
    </w:rPr>
  </w:style>
  <w:style w:type="character" w:styleId="Strk">
    <w:name w:val="Strong"/>
    <w:basedOn w:val="Standardskrifttypeiafsnit"/>
    <w:uiPriority w:val="22"/>
    <w:qFormat/>
    <w:rsid w:val="00C72FB2"/>
    <w:rPr>
      <w:b/>
      <w:bCs/>
    </w:rPr>
  </w:style>
  <w:style w:type="paragraph" w:styleId="Listeafsnit">
    <w:name w:val="List Paragraph"/>
    <w:basedOn w:val="Normal"/>
    <w:uiPriority w:val="34"/>
    <w:qFormat/>
    <w:rsid w:val="00485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218"/>
    <w:rPr>
      <w:rFonts w:ascii="NewCenturySchlbk" w:hAnsi="NewCenturySchlbk"/>
      <w:sz w:val="23"/>
    </w:rPr>
  </w:style>
  <w:style w:type="paragraph" w:styleId="Overskrift1">
    <w:name w:val="heading 1"/>
    <w:basedOn w:val="Normal"/>
    <w:next w:val="Normal"/>
    <w:qFormat/>
    <w:rsid w:val="009B1218"/>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9B1218"/>
    <w:pPr>
      <w:tabs>
        <w:tab w:val="center" w:pos="4153"/>
        <w:tab w:val="right" w:pos="8306"/>
      </w:tabs>
    </w:pPr>
  </w:style>
  <w:style w:type="character" w:styleId="Sidetal">
    <w:name w:val="page number"/>
    <w:basedOn w:val="Standardskrifttypeiafsnit"/>
    <w:rsid w:val="009B1218"/>
  </w:style>
  <w:style w:type="paragraph" w:styleId="Sidehoved">
    <w:name w:val="header"/>
    <w:basedOn w:val="Normal"/>
    <w:rsid w:val="009B1218"/>
    <w:pPr>
      <w:tabs>
        <w:tab w:val="center" w:pos="4819"/>
        <w:tab w:val="right" w:pos="9638"/>
      </w:tabs>
    </w:pPr>
  </w:style>
  <w:style w:type="paragraph" w:styleId="Dato">
    <w:name w:val="Date"/>
    <w:basedOn w:val="Normal"/>
    <w:rsid w:val="009B1218"/>
    <w:pPr>
      <w:framePr w:hSpace="142" w:vSpace="142" w:wrap="around" w:vAnchor="page" w:hAnchor="page" w:x="9300" w:y="2836"/>
    </w:pPr>
  </w:style>
  <w:style w:type="paragraph" w:customStyle="1" w:styleId="Navn">
    <w:name w:val="Navn"/>
    <w:basedOn w:val="Normal"/>
    <w:rsid w:val="009B1218"/>
    <w:pPr>
      <w:framePr w:w="4536" w:h="3402" w:wrap="notBeside" w:vAnchor="page" w:hAnchor="margin" w:y="2269"/>
    </w:pPr>
  </w:style>
  <w:style w:type="character" w:styleId="Hyperlink">
    <w:name w:val="Hyperlink"/>
    <w:basedOn w:val="Standardskrifttypeiafsnit"/>
    <w:rsid w:val="00EE1F1A"/>
    <w:rPr>
      <w:color w:val="0000FF"/>
      <w:u w:val="single"/>
    </w:rPr>
  </w:style>
  <w:style w:type="paragraph" w:customStyle="1" w:styleId="Sidenr2ff">
    <w:name w:val="Sidenr 2ff"/>
    <w:basedOn w:val="Sidehoved"/>
    <w:rsid w:val="009B1218"/>
    <w:pPr>
      <w:framePr w:hSpace="142" w:vSpace="142" w:wrap="around" w:vAnchor="page" w:hAnchor="page" w:x="10491" w:y="1419"/>
    </w:pPr>
  </w:style>
  <w:style w:type="paragraph" w:customStyle="1" w:styleId="Default">
    <w:name w:val="Default"/>
    <w:basedOn w:val="Normal"/>
    <w:rsid w:val="00EE1F1A"/>
    <w:rPr>
      <w:rFonts w:ascii="Verdana" w:hAnsi="Verdana"/>
      <w:b/>
      <w:bCs/>
      <w:sz w:val="20"/>
    </w:rPr>
  </w:style>
  <w:style w:type="paragraph" w:styleId="Fodnotetekst">
    <w:name w:val="footnote text"/>
    <w:basedOn w:val="Normal"/>
    <w:semiHidden/>
    <w:rsid w:val="00EE1F1A"/>
    <w:rPr>
      <w:rFonts w:ascii="Times New Roman" w:hAnsi="Times New Roman"/>
      <w:sz w:val="20"/>
    </w:rPr>
  </w:style>
  <w:style w:type="character" w:styleId="Fodnotehenvisning">
    <w:name w:val="footnote reference"/>
    <w:basedOn w:val="Standardskrifttypeiafsnit"/>
    <w:semiHidden/>
    <w:rsid w:val="00EE1F1A"/>
    <w:rPr>
      <w:vertAlign w:val="superscript"/>
    </w:rPr>
  </w:style>
  <w:style w:type="paragraph" w:styleId="Markeringsbobletekst">
    <w:name w:val="Balloon Text"/>
    <w:basedOn w:val="Normal"/>
    <w:semiHidden/>
    <w:rsid w:val="00611DD2"/>
    <w:rPr>
      <w:rFonts w:ascii="Tahoma" w:hAnsi="Tahoma" w:cs="Tahoma"/>
      <w:sz w:val="16"/>
      <w:szCs w:val="16"/>
    </w:rPr>
  </w:style>
  <w:style w:type="paragraph" w:styleId="Brdtekst">
    <w:name w:val="Body Text"/>
    <w:basedOn w:val="Normal"/>
    <w:autoRedefine/>
    <w:rsid w:val="00077422"/>
    <w:pPr>
      <w:spacing w:after="240"/>
      <w:jc w:val="both"/>
    </w:pPr>
    <w:rPr>
      <w:rFonts w:ascii="Times New Roman" w:hAnsi="Times New Roman"/>
      <w:sz w:val="20"/>
      <w:lang w:val="en-GB" w:eastAsia="en-GB"/>
    </w:rPr>
  </w:style>
  <w:style w:type="character" w:styleId="Kommentarhenvisning">
    <w:name w:val="annotation reference"/>
    <w:basedOn w:val="Standardskrifttypeiafsnit"/>
    <w:semiHidden/>
    <w:rsid w:val="003A0150"/>
    <w:rPr>
      <w:sz w:val="16"/>
      <w:szCs w:val="16"/>
    </w:rPr>
  </w:style>
  <w:style w:type="paragraph" w:styleId="Kommentartekst">
    <w:name w:val="annotation text"/>
    <w:basedOn w:val="Normal"/>
    <w:semiHidden/>
    <w:rsid w:val="003A0150"/>
    <w:rPr>
      <w:rFonts w:ascii="Verdana" w:hAnsi="Verdana"/>
      <w:sz w:val="20"/>
      <w:lang w:eastAsia="en-US"/>
    </w:rPr>
  </w:style>
  <w:style w:type="character" w:styleId="Fremhv">
    <w:name w:val="Emphasis"/>
    <w:basedOn w:val="Standardskrifttypeiafsnit"/>
    <w:qFormat/>
    <w:rsid w:val="005C03A2"/>
    <w:rPr>
      <w:i/>
      <w:iCs/>
    </w:rPr>
  </w:style>
  <w:style w:type="character" w:styleId="Strk">
    <w:name w:val="Strong"/>
    <w:basedOn w:val="Standardskrifttypeiafsnit"/>
    <w:uiPriority w:val="22"/>
    <w:qFormat/>
    <w:rsid w:val="00C72FB2"/>
    <w:rPr>
      <w:b/>
      <w:bCs/>
    </w:rPr>
  </w:style>
  <w:style w:type="paragraph" w:styleId="Listeafsnit">
    <w:name w:val="List Paragraph"/>
    <w:basedOn w:val="Normal"/>
    <w:uiPriority w:val="34"/>
    <w:qFormat/>
    <w:rsid w:val="0048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0529">
      <w:bodyDiv w:val="1"/>
      <w:marLeft w:val="0"/>
      <w:marRight w:val="0"/>
      <w:marTop w:val="0"/>
      <w:marBottom w:val="0"/>
      <w:divBdr>
        <w:top w:val="none" w:sz="0" w:space="0" w:color="auto"/>
        <w:left w:val="none" w:sz="0" w:space="0" w:color="auto"/>
        <w:bottom w:val="none" w:sz="0" w:space="0" w:color="auto"/>
        <w:right w:val="none" w:sz="0" w:space="0" w:color="auto"/>
      </w:divBdr>
      <w:divsChild>
        <w:div w:id="309136456">
          <w:marLeft w:val="0"/>
          <w:marRight w:val="0"/>
          <w:marTop w:val="0"/>
          <w:marBottom w:val="0"/>
          <w:divBdr>
            <w:top w:val="none" w:sz="0" w:space="0" w:color="auto"/>
            <w:left w:val="none" w:sz="0" w:space="0" w:color="auto"/>
            <w:bottom w:val="none" w:sz="0" w:space="0" w:color="auto"/>
            <w:right w:val="none" w:sz="0" w:space="0" w:color="auto"/>
          </w:divBdr>
        </w:div>
        <w:div w:id="1287463885">
          <w:marLeft w:val="0"/>
          <w:marRight w:val="0"/>
          <w:marTop w:val="0"/>
          <w:marBottom w:val="0"/>
          <w:divBdr>
            <w:top w:val="none" w:sz="0" w:space="0" w:color="auto"/>
            <w:left w:val="none" w:sz="0" w:space="0" w:color="auto"/>
            <w:bottom w:val="none" w:sz="0" w:space="0" w:color="auto"/>
            <w:right w:val="none" w:sz="0" w:space="0" w:color="auto"/>
          </w:divBdr>
        </w:div>
      </w:divsChild>
    </w:div>
    <w:div w:id="830098484">
      <w:bodyDiv w:val="1"/>
      <w:marLeft w:val="0"/>
      <w:marRight w:val="0"/>
      <w:marTop w:val="0"/>
      <w:marBottom w:val="0"/>
      <w:divBdr>
        <w:top w:val="none" w:sz="0" w:space="0" w:color="auto"/>
        <w:left w:val="none" w:sz="0" w:space="0" w:color="auto"/>
        <w:bottom w:val="none" w:sz="0" w:space="0" w:color="auto"/>
        <w:right w:val="none" w:sz="0" w:space="0" w:color="auto"/>
      </w:divBdr>
    </w:div>
    <w:div w:id="12609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TI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DE22-EDDB-4082-81BC-9B22FBF9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TIBREV</Template>
  <TotalTime>96</TotalTime>
  <Pages>3</Pages>
  <Words>842</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14</vt:lpstr>
    </vt:vector>
  </TitlesOfParts>
  <Company>Dansk Industri</Company>
  <LinksUpToDate>false</LinksUpToDate>
  <CharactersWithSpaces>5863</CharactersWithSpaces>
  <SharedDoc>false</SharedDoc>
  <HLinks>
    <vt:vector size="6" baseType="variant">
      <vt:variant>
        <vt:i4>3407935</vt:i4>
      </vt:variant>
      <vt:variant>
        <vt:i4>0</vt:i4>
      </vt:variant>
      <vt:variant>
        <vt:i4>0</vt:i4>
      </vt:variant>
      <vt:variant>
        <vt:i4>5</vt:i4>
      </vt:variant>
      <vt:variant>
        <vt:lpwstr>http://www.regeringen.se/content/1/c6/14/93/46/e115fc51.pdf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Sekretær</dc:creator>
  <cp:lastModifiedBy>Telekommunikationsindustrien I Danmark</cp:lastModifiedBy>
  <cp:revision>3</cp:revision>
  <cp:lastPrinted>2011-03-24T09:50:00Z</cp:lastPrinted>
  <dcterms:created xsi:type="dcterms:W3CDTF">2011-03-23T14:30:00Z</dcterms:created>
  <dcterms:modified xsi:type="dcterms:W3CDTF">2011-03-24T11:16:00Z</dcterms:modified>
</cp:coreProperties>
</file>