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B7" w:rsidRPr="00C55D21" w:rsidRDefault="003D48DC" w:rsidP="00F86EB9">
      <w:pPr>
        <w:pStyle w:val="Dato"/>
        <w:framePr w:w="2044" w:wrap="around" w:x="9800" w:y="3605"/>
        <w:rPr>
          <w:rFonts w:ascii="Times New Roman" w:hAnsi="Times New Roman"/>
          <w:sz w:val="24"/>
          <w:szCs w:val="24"/>
        </w:rPr>
      </w:pPr>
      <w:bookmarkStart w:id="0" w:name="_GoBack"/>
      <w:bookmarkEnd w:id="0"/>
      <w:r>
        <w:rPr>
          <w:rFonts w:ascii="Times New Roman" w:hAnsi="Times New Roman"/>
          <w:sz w:val="24"/>
          <w:szCs w:val="24"/>
        </w:rPr>
        <w:t>18</w:t>
      </w:r>
      <w:r w:rsidR="00CD0CFF">
        <w:rPr>
          <w:rFonts w:ascii="Times New Roman" w:hAnsi="Times New Roman"/>
          <w:sz w:val="24"/>
          <w:szCs w:val="24"/>
        </w:rPr>
        <w:t>. juni 2012</w:t>
      </w:r>
    </w:p>
    <w:p w:rsidR="00C913B7" w:rsidRPr="00C55D21" w:rsidRDefault="00C913B7" w:rsidP="00F86EB9">
      <w:pPr>
        <w:pStyle w:val="Dato"/>
        <w:framePr w:w="2044" w:wrap="around" w:x="9800" w:y="3605"/>
        <w:rPr>
          <w:rFonts w:ascii="Times New Roman" w:hAnsi="Times New Roman"/>
          <w:sz w:val="24"/>
          <w:szCs w:val="24"/>
        </w:rPr>
      </w:pPr>
      <w:bookmarkStart w:id="1" w:name="Initialer"/>
      <w:bookmarkEnd w:id="1"/>
    </w:p>
    <w:p w:rsidR="003D0DA8" w:rsidRDefault="00F44EEB" w:rsidP="00C55D21">
      <w:pPr>
        <w:pStyle w:val="Navn"/>
        <w:framePr w:h="2961" w:wrap="notBeside" w:hAnchor="page" w:x="1522" w:y="2525"/>
        <w:rPr>
          <w:rFonts w:ascii="Times New Roman" w:hAnsi="Times New Roman"/>
          <w:sz w:val="24"/>
          <w:szCs w:val="24"/>
        </w:rPr>
      </w:pPr>
      <w:bookmarkStart w:id="2" w:name="Navn"/>
      <w:bookmarkStart w:id="3" w:name="Start"/>
      <w:bookmarkEnd w:id="2"/>
      <w:bookmarkEnd w:id="3"/>
      <w:r>
        <w:rPr>
          <w:rFonts w:ascii="Times New Roman" w:hAnsi="Times New Roman"/>
          <w:sz w:val="24"/>
          <w:szCs w:val="24"/>
        </w:rPr>
        <w:t>Erhvervsstyrelsen</w:t>
      </w:r>
    </w:p>
    <w:p w:rsidR="00F44EEB" w:rsidRDefault="00F44EEB" w:rsidP="00C55D21">
      <w:pPr>
        <w:pStyle w:val="Navn"/>
        <w:framePr w:h="2961" w:wrap="notBeside" w:hAnchor="page" w:x="1522" w:y="2525"/>
        <w:rPr>
          <w:rFonts w:ascii="Times New Roman" w:hAnsi="Times New Roman"/>
          <w:sz w:val="24"/>
          <w:szCs w:val="24"/>
        </w:rPr>
      </w:pPr>
      <w:r>
        <w:rPr>
          <w:rFonts w:ascii="Times New Roman" w:hAnsi="Times New Roman"/>
          <w:sz w:val="24"/>
          <w:szCs w:val="24"/>
        </w:rPr>
        <w:t>Dahlerups Pakhus</w:t>
      </w:r>
    </w:p>
    <w:p w:rsidR="00F44EEB" w:rsidRDefault="00F44EEB" w:rsidP="00C55D21">
      <w:pPr>
        <w:pStyle w:val="Navn"/>
        <w:framePr w:h="2961" w:wrap="notBeside" w:hAnchor="page" w:x="1522" w:y="2525"/>
        <w:rPr>
          <w:rFonts w:ascii="Times New Roman" w:hAnsi="Times New Roman"/>
          <w:sz w:val="24"/>
          <w:szCs w:val="24"/>
        </w:rPr>
      </w:pPr>
      <w:r>
        <w:rPr>
          <w:rFonts w:ascii="Times New Roman" w:hAnsi="Times New Roman"/>
          <w:sz w:val="24"/>
          <w:szCs w:val="24"/>
        </w:rPr>
        <w:t>Langelinie Allé 17</w:t>
      </w:r>
    </w:p>
    <w:p w:rsidR="00F44EEB" w:rsidRDefault="00F44EEB" w:rsidP="00C55D21">
      <w:pPr>
        <w:pStyle w:val="Navn"/>
        <w:framePr w:h="2961" w:wrap="notBeside" w:hAnchor="page" w:x="1522" w:y="2525"/>
        <w:rPr>
          <w:rFonts w:ascii="Times New Roman" w:hAnsi="Times New Roman"/>
          <w:sz w:val="24"/>
          <w:szCs w:val="24"/>
        </w:rPr>
      </w:pPr>
      <w:r>
        <w:rPr>
          <w:rFonts w:ascii="Times New Roman" w:hAnsi="Times New Roman"/>
          <w:sz w:val="24"/>
          <w:szCs w:val="24"/>
        </w:rPr>
        <w:t>2100 København Ø</w:t>
      </w:r>
    </w:p>
    <w:p w:rsidR="00F44EEB" w:rsidRDefault="00F44EEB" w:rsidP="00C55D21">
      <w:pPr>
        <w:pStyle w:val="Navn"/>
        <w:framePr w:h="2961" w:wrap="notBeside" w:hAnchor="page" w:x="1522" w:y="2525"/>
        <w:rPr>
          <w:rFonts w:ascii="Times New Roman" w:hAnsi="Times New Roman"/>
          <w:sz w:val="24"/>
          <w:szCs w:val="24"/>
        </w:rPr>
      </w:pPr>
    </w:p>
    <w:p w:rsidR="00F44EEB" w:rsidRPr="003D0DA8" w:rsidRDefault="00F44EEB" w:rsidP="00C55D21">
      <w:pPr>
        <w:pStyle w:val="Navn"/>
        <w:framePr w:h="2961" w:wrap="notBeside" w:hAnchor="page" w:x="1522" w:y="2525"/>
        <w:rPr>
          <w:rFonts w:ascii="Times New Roman" w:hAnsi="Times New Roman"/>
          <w:sz w:val="24"/>
          <w:szCs w:val="24"/>
        </w:rPr>
      </w:pPr>
      <w:r>
        <w:rPr>
          <w:rFonts w:ascii="Times New Roman" w:hAnsi="Times New Roman"/>
          <w:sz w:val="24"/>
          <w:szCs w:val="24"/>
        </w:rPr>
        <w:t xml:space="preserve">Sendt på mail: </w:t>
      </w:r>
      <w:hyperlink r:id="rId8" w:history="1">
        <w:r w:rsidRPr="00481677">
          <w:rPr>
            <w:rStyle w:val="Hyperlink"/>
            <w:rFonts w:ascii="Times New Roman" w:hAnsi="Times New Roman"/>
            <w:sz w:val="24"/>
            <w:szCs w:val="24"/>
          </w:rPr>
          <w:t>Posttbk@erst.dk</w:t>
        </w:r>
      </w:hyperlink>
      <w:r>
        <w:rPr>
          <w:rFonts w:ascii="Times New Roman" w:hAnsi="Times New Roman"/>
          <w:sz w:val="24"/>
          <w:szCs w:val="24"/>
        </w:rPr>
        <w:t xml:space="preserve"> </w:t>
      </w:r>
    </w:p>
    <w:p w:rsidR="00C913B7" w:rsidRDefault="00F44EEB">
      <w:pPr>
        <w:pStyle w:val="Overskrift1"/>
      </w:pPr>
      <w:r>
        <w:t>Høring over Erhvervsstyrelsens vejledning til bekendtgørelse om udbud af elektroniske kommunikationsnet og -tjenester</w:t>
      </w:r>
    </w:p>
    <w:p w:rsidR="00C913B7" w:rsidRDefault="00C913B7"/>
    <w:p w:rsidR="00F44EEB" w:rsidRPr="00F44EEB" w:rsidRDefault="00F44EEB" w:rsidP="00F44EEB">
      <w:pPr>
        <w:rPr>
          <w:rFonts w:ascii="Times New Roman" w:hAnsi="Times New Roman"/>
          <w:sz w:val="24"/>
          <w:szCs w:val="24"/>
        </w:rPr>
      </w:pPr>
      <w:r w:rsidRPr="00F44EEB">
        <w:rPr>
          <w:rFonts w:ascii="Times New Roman" w:hAnsi="Times New Roman"/>
          <w:sz w:val="24"/>
          <w:szCs w:val="24"/>
        </w:rPr>
        <w:t>Telekommunikationsindustrien i Danmark (TI)</w:t>
      </w:r>
      <w:r w:rsidR="00D90D3E">
        <w:rPr>
          <w:rFonts w:ascii="Times New Roman" w:hAnsi="Times New Roman"/>
          <w:sz w:val="24"/>
          <w:szCs w:val="24"/>
        </w:rPr>
        <w:t xml:space="preserve"> og DI ITEK</w:t>
      </w:r>
      <w:r w:rsidRPr="00F44EEB">
        <w:rPr>
          <w:rFonts w:ascii="Times New Roman" w:hAnsi="Times New Roman"/>
          <w:sz w:val="24"/>
          <w:szCs w:val="24"/>
        </w:rPr>
        <w:t xml:space="preserve"> har modtaget Erhvervsstyrelsen brev af 7. maj 2012 med anmodning om eventuelle bemærkninger til Erhvervsstyrelsens udkast til vejledning til bekendtgørelse om om udbud af elektroniske kommunikationsnet og –tjenester.</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Indledningsvist vil TI</w:t>
      </w:r>
      <w:r w:rsidR="00D90D3E">
        <w:rPr>
          <w:rFonts w:ascii="Times New Roman" w:hAnsi="Times New Roman"/>
          <w:sz w:val="24"/>
          <w:szCs w:val="24"/>
        </w:rPr>
        <w:t xml:space="preserve"> og DI ITEK</w:t>
      </w:r>
      <w:r w:rsidRPr="00F44EEB">
        <w:rPr>
          <w:rFonts w:ascii="Times New Roman" w:hAnsi="Times New Roman"/>
          <w:sz w:val="24"/>
          <w:szCs w:val="24"/>
        </w:rPr>
        <w:t xml:space="preserve"> gerne rose udkastet for overordnet at være godt gennemarbejdet og velskrevet og dermed bidrage til en ensartet fortolkning af udbudsbekendtgørelsens bestemmelser.</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Efter en gennemlæsning af udkastet har TI </w:t>
      </w:r>
      <w:r w:rsidR="00D90D3E">
        <w:rPr>
          <w:rFonts w:ascii="Times New Roman" w:hAnsi="Times New Roman"/>
          <w:sz w:val="24"/>
          <w:szCs w:val="24"/>
        </w:rPr>
        <w:t xml:space="preserve">og DI ITEK </w:t>
      </w:r>
      <w:r w:rsidRPr="00F44EEB">
        <w:rPr>
          <w:rFonts w:ascii="Times New Roman" w:hAnsi="Times New Roman"/>
          <w:sz w:val="24"/>
          <w:szCs w:val="24"/>
        </w:rPr>
        <w:t>følgende bemærkninger til udkastet.</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b/>
          <w:sz w:val="24"/>
          <w:szCs w:val="24"/>
        </w:rPr>
      </w:pPr>
      <w:r w:rsidRPr="00F44EEB">
        <w:rPr>
          <w:rFonts w:ascii="Times New Roman" w:hAnsi="Times New Roman"/>
          <w:b/>
          <w:sz w:val="24"/>
          <w:szCs w:val="24"/>
        </w:rPr>
        <w:t>Indledningen – side 2</w:t>
      </w:r>
    </w:p>
    <w:p w:rsidR="00F44EEB" w:rsidRPr="00F44EEB" w:rsidRDefault="00F44EEB" w:rsidP="00D90D3E">
      <w:pPr>
        <w:rPr>
          <w:rFonts w:ascii="Times New Roman" w:hAnsi="Times New Roman"/>
          <w:sz w:val="24"/>
          <w:szCs w:val="24"/>
        </w:rPr>
      </w:pPr>
      <w:r w:rsidRPr="00F44EEB">
        <w:rPr>
          <w:rFonts w:ascii="Times New Roman" w:hAnsi="Times New Roman"/>
          <w:sz w:val="24"/>
          <w:szCs w:val="24"/>
        </w:rPr>
        <w:t>Det fremgår nederst på side 2, at teledirektivpakke fra 2009 indebar en stramning af udbudsbekendtgørelsens regler om stedbestemmelse ved alarmopkald. Det er TI</w:t>
      </w:r>
      <w:r w:rsidR="00D90D3E">
        <w:rPr>
          <w:rFonts w:ascii="Times New Roman" w:hAnsi="Times New Roman"/>
          <w:sz w:val="24"/>
          <w:szCs w:val="24"/>
        </w:rPr>
        <w:t xml:space="preserve"> og DI ITEK</w:t>
      </w:r>
      <w:r w:rsidRPr="00F44EEB">
        <w:rPr>
          <w:rFonts w:ascii="Times New Roman" w:hAnsi="Times New Roman"/>
          <w:sz w:val="24"/>
          <w:szCs w:val="24"/>
        </w:rPr>
        <w:t xml:space="preserve">’s opfattelse, at der ikke de facto er sket en stramning af reglerne om stedbestemmelse, og TI </w:t>
      </w:r>
      <w:r w:rsidR="00D90D3E">
        <w:rPr>
          <w:rFonts w:ascii="Times New Roman" w:hAnsi="Times New Roman"/>
          <w:sz w:val="24"/>
          <w:szCs w:val="24"/>
        </w:rPr>
        <w:t xml:space="preserve">og DI ITEK </w:t>
      </w:r>
      <w:r w:rsidRPr="00F44EEB">
        <w:rPr>
          <w:rFonts w:ascii="Times New Roman" w:hAnsi="Times New Roman"/>
          <w:sz w:val="24"/>
          <w:szCs w:val="24"/>
        </w:rPr>
        <w:t>foreslår derfor</w:t>
      </w:r>
      <w:r w:rsidR="00D90D3E">
        <w:rPr>
          <w:rFonts w:ascii="Times New Roman" w:hAnsi="Times New Roman"/>
          <w:sz w:val="24"/>
          <w:szCs w:val="24"/>
        </w:rPr>
        <w:t>,</w:t>
      </w:r>
      <w:r w:rsidRPr="00F44EEB">
        <w:rPr>
          <w:rFonts w:ascii="Times New Roman" w:hAnsi="Times New Roman"/>
          <w:sz w:val="24"/>
          <w:szCs w:val="24"/>
        </w:rPr>
        <w:t xml:space="preserve"> at omtalen heraf udgår.</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b/>
          <w:sz w:val="24"/>
          <w:szCs w:val="24"/>
        </w:rPr>
      </w:pPr>
      <w:r w:rsidRPr="00F44EEB">
        <w:rPr>
          <w:rFonts w:ascii="Times New Roman" w:hAnsi="Times New Roman"/>
          <w:b/>
          <w:sz w:val="24"/>
          <w:szCs w:val="24"/>
        </w:rPr>
        <w:t>Indledningen – side 3</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Da Erhvervsstyrelsen vælger at henvise til såvel samtrafiklovgivning, frekvenslovgivning, nummer lovgivning og Forbrugerombudsmandens retningslinjer om god markedsføringsskik på teleområdet som andre regelsæt på området, opfordrer TI</w:t>
      </w:r>
      <w:r w:rsidR="002D2F91">
        <w:rPr>
          <w:rFonts w:ascii="Times New Roman" w:hAnsi="Times New Roman"/>
          <w:sz w:val="24"/>
          <w:szCs w:val="24"/>
        </w:rPr>
        <w:t xml:space="preserve"> og DI ITEK</w:t>
      </w:r>
      <w:r w:rsidRPr="00F44EEB">
        <w:rPr>
          <w:rFonts w:ascii="Times New Roman" w:hAnsi="Times New Roman"/>
          <w:sz w:val="24"/>
          <w:szCs w:val="24"/>
        </w:rPr>
        <w:t xml:space="preserve"> til, at der ligeledes henvises til markedsføringsloven, forbrugeraftaleloven og  betalingstjenesteloven, der efter TI</w:t>
      </w:r>
      <w:r w:rsidR="00D90D3E">
        <w:rPr>
          <w:rFonts w:ascii="Times New Roman" w:hAnsi="Times New Roman"/>
          <w:sz w:val="24"/>
          <w:szCs w:val="24"/>
        </w:rPr>
        <w:t xml:space="preserve"> og DI ITEK</w:t>
      </w:r>
      <w:r w:rsidRPr="00F44EEB">
        <w:rPr>
          <w:rFonts w:ascii="Times New Roman" w:hAnsi="Times New Roman"/>
          <w:sz w:val="24"/>
          <w:szCs w:val="24"/>
        </w:rPr>
        <w:t>’s opfattelser er mindst lige så relevante at nævne.</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b/>
          <w:sz w:val="24"/>
          <w:szCs w:val="24"/>
        </w:rPr>
      </w:pPr>
      <w:r w:rsidRPr="00F44EEB">
        <w:rPr>
          <w:rFonts w:ascii="Times New Roman" w:hAnsi="Times New Roman"/>
          <w:b/>
          <w:sz w:val="24"/>
          <w:szCs w:val="24"/>
        </w:rPr>
        <w:t>§ 1, stk. 2 – side 6-7 (undtagelse for fordeling af radio- og tv-programmer)</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Kulturministeriet har i en konkret sag om rækkevidden af ”must carry”-reglerne i forhold til en teleudbyders IP-TV-tjeneste, der distribueres via telenetettet, udarbejdet vedhæftede notat af 30. august 2011, hvoraf det bl.a. fremgår, at radio- og fjernsynslovens definition af fællesantenneanlæg omfatter alle </w:t>
      </w:r>
      <w:r w:rsidRPr="00F44EEB">
        <w:rPr>
          <w:rFonts w:ascii="Times New Roman" w:hAnsi="Times New Roman"/>
          <w:sz w:val="24"/>
          <w:szCs w:val="24"/>
        </w:rPr>
        <w:lastRenderedPageBreak/>
        <w:t>kabelbaserede elektroniske kommunikationsnet, som er sammenlignelige med almindelige fællesantenneanlæg, dvs. som ”pakker” og viderefordeler lineært tv til private husstande. Den pågældende teleudbyders IP-TV-tjeneste skulle derfor overholde reglerne i fællesantennebekendtgørelsen.</w:t>
      </w:r>
    </w:p>
    <w:p w:rsidR="00F44EEB" w:rsidRPr="00F44EEB" w:rsidRDefault="00F44EEB" w:rsidP="00F44EEB">
      <w:pPr>
        <w:rPr>
          <w:rFonts w:ascii="Times New Roman" w:hAnsi="Times New Roman"/>
          <w:b/>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Det bør på den baggrund præciseres i vejledningen til i udbudsbekendtgørelsen, at undtagelsesbestemmelsen i udbudsbekendtgørelsens § 1, stk. 2 også omfatter teleudbyderes IP-TV-tjenester, idet telenet, hvori der distribueres radio- og tv-programmer (IP-baseret) efter omstændighederne er omfattet af definitionen af fællesantenneanlæg. </w:t>
      </w:r>
    </w:p>
    <w:p w:rsidR="00F44EEB" w:rsidRPr="00F44EEB" w:rsidRDefault="00F44EEB" w:rsidP="00F44EEB">
      <w:pPr>
        <w:rPr>
          <w:rFonts w:ascii="Times New Roman" w:hAnsi="Times New Roman"/>
          <w:b/>
          <w:sz w:val="24"/>
          <w:szCs w:val="24"/>
        </w:rPr>
      </w:pPr>
    </w:p>
    <w:p w:rsidR="00F44EEB" w:rsidRPr="00F44EEB" w:rsidRDefault="00F44EEB" w:rsidP="00F44EEB">
      <w:pPr>
        <w:rPr>
          <w:rFonts w:ascii="Times New Roman" w:hAnsi="Times New Roman"/>
          <w:b/>
          <w:sz w:val="24"/>
          <w:szCs w:val="24"/>
        </w:rPr>
      </w:pPr>
      <w:r w:rsidRPr="00F44EEB">
        <w:rPr>
          <w:rFonts w:ascii="Times New Roman" w:hAnsi="Times New Roman"/>
          <w:b/>
          <w:sz w:val="24"/>
          <w:szCs w:val="24"/>
        </w:rPr>
        <w:t>§ 2, stk. 1, nr. 6 – Side 11</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Henvisningen til bristede forudsætninger i andet afsnit bør udgå. Det er TI </w:t>
      </w:r>
      <w:r w:rsidR="00D90D3E">
        <w:rPr>
          <w:rFonts w:ascii="Times New Roman" w:hAnsi="Times New Roman"/>
          <w:sz w:val="24"/>
          <w:szCs w:val="24"/>
        </w:rPr>
        <w:t xml:space="preserve">og DI ITEK’s </w:t>
      </w:r>
      <w:r w:rsidRPr="00F44EEB">
        <w:rPr>
          <w:rFonts w:ascii="Times New Roman" w:hAnsi="Times New Roman"/>
          <w:sz w:val="24"/>
          <w:szCs w:val="24"/>
        </w:rPr>
        <w:t>opfattelse, at det ikke nødvendigvis er læren om bristede forudsætninger, der finder anvendelse i den omtalte situation, da slutbrugeren muligvis også vil kunne hæve aftalen med henvisning til de almindelige obligationsretlige regler om rettidig levering.</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Derudover har TI </w:t>
      </w:r>
      <w:r w:rsidR="00D90D3E">
        <w:rPr>
          <w:rFonts w:ascii="Times New Roman" w:hAnsi="Times New Roman"/>
          <w:sz w:val="24"/>
          <w:szCs w:val="24"/>
        </w:rPr>
        <w:t xml:space="preserve">og DI ITEK </w:t>
      </w:r>
      <w:r w:rsidRPr="00F44EEB">
        <w:rPr>
          <w:rFonts w:ascii="Times New Roman" w:hAnsi="Times New Roman"/>
          <w:sz w:val="24"/>
          <w:szCs w:val="24"/>
        </w:rPr>
        <w:t>følgende bemærkning til første afsnit: Tidspunktet for levering fastsættes ved aftale, og kan – ud over leveringstidspunktet som er nævnt i udkastet til vejledning – fx også være aftaleindgåelsestidspunktet. For så vidt angår forbrugerforhold er det dog i den danske telebranche normalt, at abonnementsaftaler træder i kraft på leveringstidspunktet, og at bindingsperioden derfor løber fra leveringstidspunktet.</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b/>
          <w:sz w:val="24"/>
          <w:szCs w:val="24"/>
        </w:rPr>
      </w:pPr>
      <w:r w:rsidRPr="00F44EEB">
        <w:rPr>
          <w:rFonts w:ascii="Times New Roman" w:hAnsi="Times New Roman"/>
          <w:b/>
          <w:sz w:val="24"/>
          <w:szCs w:val="24"/>
        </w:rPr>
        <w:t>§ 2, stk. 1, nr. 16 – side 14 (tilsluttet nummer)</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I telebranchen er det normalt at anvende betegnelsen ”A” om den kaldende kunde, ”B” om den kaldte kunde og”C” om det nummer, der viderestilles eller omstilles til.</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Anvendelsen af ”A” og ”B” i eksemplet på side 14, kan derfor med fordel ændres til enten ”B” og ”C” eller ”X” og ”Y”.</w:t>
      </w:r>
    </w:p>
    <w:p w:rsidR="00F44EEB" w:rsidRPr="00F44EEB" w:rsidRDefault="00F44EEB" w:rsidP="00F44EEB">
      <w:pPr>
        <w:rPr>
          <w:rFonts w:ascii="Times New Roman" w:hAnsi="Times New Roman"/>
          <w:b/>
          <w:sz w:val="24"/>
          <w:szCs w:val="24"/>
        </w:rPr>
      </w:pPr>
    </w:p>
    <w:p w:rsidR="00F44EEB" w:rsidRPr="00F44EEB" w:rsidRDefault="00F44EEB" w:rsidP="00F44EEB">
      <w:pPr>
        <w:rPr>
          <w:rFonts w:ascii="Times New Roman" w:hAnsi="Times New Roman"/>
          <w:b/>
          <w:sz w:val="24"/>
          <w:szCs w:val="24"/>
        </w:rPr>
      </w:pPr>
      <w:r w:rsidRPr="00F44EEB">
        <w:rPr>
          <w:rFonts w:ascii="Times New Roman" w:hAnsi="Times New Roman"/>
          <w:b/>
          <w:sz w:val="24"/>
          <w:szCs w:val="24"/>
        </w:rPr>
        <w:t>§ 5, stk. 1 – side 19 (Stedbestemmelse af nomadisk IP-telefoni)</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Det anførte i eksemplet om IP-telefoni i de sidste 3 afsnit på side 19 er efter TI </w:t>
      </w:r>
      <w:r w:rsidR="00D90D3E">
        <w:rPr>
          <w:rFonts w:ascii="Times New Roman" w:hAnsi="Times New Roman"/>
          <w:sz w:val="24"/>
          <w:szCs w:val="24"/>
        </w:rPr>
        <w:t xml:space="preserve">og DI ITEK’s </w:t>
      </w:r>
      <w:r w:rsidRPr="00F44EEB">
        <w:rPr>
          <w:rFonts w:ascii="Times New Roman" w:hAnsi="Times New Roman"/>
          <w:sz w:val="24"/>
          <w:szCs w:val="24"/>
        </w:rPr>
        <w:t xml:space="preserve">opfattelse ikke korrekt.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TI </w:t>
      </w:r>
      <w:r w:rsidR="00D90D3E">
        <w:rPr>
          <w:rFonts w:ascii="Times New Roman" w:hAnsi="Times New Roman"/>
          <w:sz w:val="24"/>
          <w:szCs w:val="24"/>
        </w:rPr>
        <w:t xml:space="preserve">og DI ITEK </w:t>
      </w:r>
      <w:r w:rsidRPr="00F44EEB">
        <w:rPr>
          <w:rFonts w:ascii="Times New Roman" w:hAnsi="Times New Roman"/>
          <w:sz w:val="24"/>
          <w:szCs w:val="24"/>
        </w:rPr>
        <w:t xml:space="preserve">kan oplyse, at der findes forskellige typer af IP-telefonitjenester, herunder både IP-telefonitjenester med mulig nomadisk anvendelse og IP-telefonitjenester, der kun kan benyttes fra installationsadressen.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For så vidt angår IP-telefonitjenester, der kun kan anvendes fra installationsadressen, sker stedbestemmelse på samme måde som for PSTN, nemlig ved brug af 118-data.</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For så vidt angår IP-telefonitjenester med mulig nomadisk anvendelse, kan disse udbydes af såvel udbydere med eget net og udbyder</w:t>
      </w:r>
      <w:r w:rsidR="00D90D3E">
        <w:rPr>
          <w:rFonts w:ascii="Times New Roman" w:hAnsi="Times New Roman"/>
          <w:sz w:val="24"/>
          <w:szCs w:val="24"/>
        </w:rPr>
        <w:t>e</w:t>
      </w:r>
      <w:r w:rsidRPr="00F44EEB">
        <w:rPr>
          <w:rFonts w:ascii="Times New Roman" w:hAnsi="Times New Roman"/>
          <w:sz w:val="24"/>
          <w:szCs w:val="24"/>
        </w:rPr>
        <w:t xml:space="preserve"> uden net. Der er – som </w:t>
      </w:r>
      <w:r w:rsidRPr="00F44EEB">
        <w:rPr>
          <w:rFonts w:ascii="Times New Roman" w:hAnsi="Times New Roman"/>
          <w:sz w:val="24"/>
          <w:szCs w:val="24"/>
        </w:rPr>
        <w:lastRenderedPageBreak/>
        <w:t xml:space="preserve">hidtil – ikke mulighed for sikker stedbestemmelse af IP-telefoniopkald med mulig nomadisk anvendelse, uanset om kaldet originerer i udbyderens eget eller i tredjemands net. Hvis en kunde på en nomadisk ip-telefonitjeneste bevæger sig rundt i den pågældende udbyders net er det således ikke korrekt som anført i udkastet, at udbyderen kan stedbestemme ud fra IP-adresser mv.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TI </w:t>
      </w:r>
      <w:r w:rsidR="008A4B79">
        <w:rPr>
          <w:rFonts w:ascii="Times New Roman" w:hAnsi="Times New Roman"/>
          <w:sz w:val="24"/>
          <w:szCs w:val="24"/>
        </w:rPr>
        <w:t xml:space="preserve">og DI ITEK </w:t>
      </w:r>
      <w:r w:rsidRPr="00F44EEB">
        <w:rPr>
          <w:rFonts w:ascii="Times New Roman" w:hAnsi="Times New Roman"/>
          <w:sz w:val="24"/>
          <w:szCs w:val="24"/>
        </w:rPr>
        <w:t xml:space="preserve">anmoder derfor om, at eksemplet udgår af vejledningen og eventuelt erstattes af teksten fra Videnskabsministeriets høringsnotat fra sommeren 2011 i forbindelse med den seneste ændring af udbudsbekendtgørelsen, hvor følgende fremgår: </w:t>
      </w:r>
    </w:p>
    <w:p w:rsidR="00F44EEB" w:rsidRPr="00F44EEB" w:rsidRDefault="00F44EEB" w:rsidP="00F44EEB">
      <w:pPr>
        <w:rPr>
          <w:rFonts w:ascii="Times New Roman" w:hAnsi="Times New Roman"/>
          <w:sz w:val="24"/>
          <w:szCs w:val="24"/>
        </w:rPr>
      </w:pPr>
    </w:p>
    <w:p w:rsidR="00F44EEB" w:rsidRPr="00F44EEB" w:rsidRDefault="00F44EEB" w:rsidP="00F44EEB">
      <w:pPr>
        <w:ind w:left="1304"/>
        <w:rPr>
          <w:rFonts w:ascii="Times New Roman" w:hAnsi="Times New Roman"/>
          <w:i/>
          <w:sz w:val="24"/>
          <w:szCs w:val="24"/>
        </w:rPr>
      </w:pPr>
      <w:r w:rsidRPr="00F44EEB">
        <w:rPr>
          <w:rFonts w:ascii="Times New Roman" w:hAnsi="Times New Roman"/>
          <w:i/>
          <w:sz w:val="24"/>
          <w:szCs w:val="24"/>
        </w:rPr>
        <w:t>5. Stedbestemmelse af alarmopkald - § 5</w:t>
      </w:r>
    </w:p>
    <w:p w:rsidR="00F44EEB" w:rsidRPr="00F44EEB" w:rsidRDefault="00F44EEB" w:rsidP="00F44EEB">
      <w:pPr>
        <w:ind w:left="1304"/>
        <w:rPr>
          <w:rFonts w:ascii="Times New Roman" w:hAnsi="Times New Roman"/>
          <w:i/>
          <w:sz w:val="24"/>
          <w:szCs w:val="24"/>
        </w:rPr>
      </w:pPr>
      <w:r w:rsidRPr="00F44EEB">
        <w:rPr>
          <w:rFonts w:ascii="Times New Roman" w:hAnsi="Times New Roman"/>
          <w:i/>
          <w:sz w:val="24"/>
          <w:szCs w:val="24"/>
        </w:rPr>
        <w:t>TI og Advokatrådet finder, at det er problematisk, at der i bestemmelsen ikke</w:t>
      </w:r>
      <w:r>
        <w:rPr>
          <w:rFonts w:ascii="Times New Roman" w:hAnsi="Times New Roman"/>
          <w:i/>
          <w:sz w:val="24"/>
          <w:szCs w:val="24"/>
        </w:rPr>
        <w:t xml:space="preserve"> </w:t>
      </w:r>
      <w:r w:rsidRPr="00F44EEB">
        <w:rPr>
          <w:rFonts w:ascii="Times New Roman" w:hAnsi="Times New Roman"/>
          <w:i/>
          <w:sz w:val="24"/>
          <w:szCs w:val="24"/>
        </w:rPr>
        <w:t>længere tages forbehold for, hvad der er teknisk muligt, som det var tilfældet i</w:t>
      </w:r>
      <w:r>
        <w:rPr>
          <w:rFonts w:ascii="Times New Roman" w:hAnsi="Times New Roman"/>
          <w:i/>
          <w:sz w:val="24"/>
          <w:szCs w:val="24"/>
        </w:rPr>
        <w:t xml:space="preserve"> </w:t>
      </w:r>
      <w:r w:rsidRPr="00F44EEB">
        <w:rPr>
          <w:rFonts w:ascii="Times New Roman" w:hAnsi="Times New Roman"/>
          <w:i/>
          <w:sz w:val="24"/>
          <w:szCs w:val="24"/>
        </w:rPr>
        <w:t>den gældende bekendtgørelse. TI anfører, at dette er særligt problematisk for visse</w:t>
      </w:r>
      <w:r>
        <w:rPr>
          <w:rFonts w:ascii="Times New Roman" w:hAnsi="Times New Roman"/>
          <w:i/>
          <w:sz w:val="24"/>
          <w:szCs w:val="24"/>
        </w:rPr>
        <w:t xml:space="preserve"> </w:t>
      </w:r>
      <w:r w:rsidRPr="00F44EEB">
        <w:rPr>
          <w:rFonts w:ascii="Times New Roman" w:hAnsi="Times New Roman"/>
          <w:i/>
          <w:sz w:val="24"/>
          <w:szCs w:val="24"/>
        </w:rPr>
        <w:t>nomadiske IP-tjenester.</w:t>
      </w:r>
    </w:p>
    <w:p w:rsidR="00F44EEB" w:rsidRPr="00F44EEB" w:rsidRDefault="00F44EEB" w:rsidP="00F44EEB">
      <w:pPr>
        <w:ind w:left="1304"/>
        <w:rPr>
          <w:rFonts w:ascii="Times New Roman" w:hAnsi="Times New Roman"/>
          <w:i/>
          <w:sz w:val="24"/>
          <w:szCs w:val="24"/>
        </w:rPr>
      </w:pPr>
    </w:p>
    <w:p w:rsidR="00F44EEB" w:rsidRPr="00F44EEB" w:rsidRDefault="00F44EEB" w:rsidP="00F44EEB">
      <w:pPr>
        <w:ind w:left="1304"/>
        <w:rPr>
          <w:rFonts w:ascii="Times New Roman" w:hAnsi="Times New Roman"/>
          <w:i/>
          <w:sz w:val="24"/>
          <w:szCs w:val="24"/>
        </w:rPr>
      </w:pPr>
      <w:r w:rsidRPr="00F44EEB">
        <w:rPr>
          <w:rFonts w:ascii="Times New Roman" w:hAnsi="Times New Roman"/>
          <w:i/>
          <w:sz w:val="24"/>
          <w:szCs w:val="24"/>
        </w:rPr>
        <w:t xml:space="preserve">Videnskabsministeriet bemærker, at ændringen skyldes ændringer i forsyningspligtdirektivet, hvorefter der ikke længere i </w:t>
      </w:r>
      <w:r>
        <w:rPr>
          <w:rFonts w:ascii="Times New Roman" w:hAnsi="Times New Roman"/>
          <w:i/>
          <w:sz w:val="24"/>
          <w:szCs w:val="24"/>
        </w:rPr>
        <w:t>u</w:t>
      </w:r>
      <w:r w:rsidRPr="00F44EEB">
        <w:rPr>
          <w:rFonts w:ascii="Times New Roman" w:hAnsi="Times New Roman"/>
          <w:i/>
          <w:sz w:val="24"/>
          <w:szCs w:val="24"/>
        </w:rPr>
        <w:t xml:space="preserve">dbudsbekendtgørelsen er mulighed for at tage forbehold for, hvorvidt stedbestemmelse er teknisk muligt. Som det fremgår af bemærkningerne til telelovens § 61, kan det være teknisk umuligt for visse udbydere blandt andet at levere stedbestemmelsesoplysninger. Det kan eksempelvis være tilfældet med visse nomadiske IP-telefonitjenester. </w:t>
      </w:r>
    </w:p>
    <w:p w:rsidR="00F44EEB" w:rsidRPr="00F44EEB" w:rsidRDefault="00F44EEB" w:rsidP="00F44EEB">
      <w:pPr>
        <w:ind w:left="1304"/>
        <w:rPr>
          <w:rFonts w:ascii="Times New Roman" w:hAnsi="Times New Roman"/>
          <w:i/>
          <w:sz w:val="24"/>
          <w:szCs w:val="24"/>
        </w:rPr>
      </w:pPr>
    </w:p>
    <w:p w:rsidR="00F44EEB" w:rsidRPr="00F44EEB" w:rsidRDefault="00F44EEB" w:rsidP="00F44EEB">
      <w:pPr>
        <w:ind w:left="1304"/>
        <w:rPr>
          <w:rFonts w:ascii="Times New Roman" w:hAnsi="Times New Roman"/>
          <w:i/>
          <w:sz w:val="24"/>
          <w:szCs w:val="24"/>
        </w:rPr>
      </w:pPr>
      <w:r w:rsidRPr="00F44EEB">
        <w:rPr>
          <w:rFonts w:ascii="Times New Roman" w:hAnsi="Times New Roman"/>
          <w:i/>
          <w:sz w:val="24"/>
          <w:szCs w:val="24"/>
        </w:rPr>
        <w:t>Det fremgår videre af bemærkningerne, at når der er indført internationalt anerkendte</w:t>
      </w:r>
      <w:r>
        <w:rPr>
          <w:rFonts w:ascii="Times New Roman" w:hAnsi="Times New Roman"/>
          <w:i/>
          <w:sz w:val="24"/>
          <w:szCs w:val="24"/>
        </w:rPr>
        <w:t xml:space="preserve"> s</w:t>
      </w:r>
      <w:r w:rsidRPr="00F44EEB">
        <w:rPr>
          <w:rFonts w:ascii="Times New Roman" w:hAnsi="Times New Roman"/>
          <w:i/>
          <w:sz w:val="24"/>
          <w:szCs w:val="24"/>
        </w:rPr>
        <w:t xml:space="preserve">tandarder på området, vil udbydere af sådanne tjenester skulle opfylde forpligtelserne på lige vilkår med øvrige udbydere. Ministeriet kan oplyse, at der er iværksat standardiseringsarbejde i EU-regi, som skal sikre, at der kan leveres stedbestemmelsesoplysninger for nomadiske IP-telefonitjenester. </w:t>
      </w:r>
    </w:p>
    <w:p w:rsidR="00F44EEB" w:rsidRPr="00F44EEB" w:rsidRDefault="00F44EEB" w:rsidP="00F44EEB">
      <w:pPr>
        <w:ind w:left="1304"/>
        <w:rPr>
          <w:rFonts w:ascii="Times New Roman" w:hAnsi="Times New Roman"/>
          <w:i/>
          <w:sz w:val="24"/>
          <w:szCs w:val="24"/>
        </w:rPr>
      </w:pPr>
    </w:p>
    <w:p w:rsidR="00F44EEB" w:rsidRPr="00F44EEB" w:rsidRDefault="00F44EEB" w:rsidP="00F44EEB">
      <w:pPr>
        <w:ind w:left="1304"/>
        <w:rPr>
          <w:rFonts w:ascii="Times New Roman" w:hAnsi="Times New Roman"/>
          <w:i/>
          <w:sz w:val="24"/>
          <w:szCs w:val="24"/>
        </w:rPr>
      </w:pPr>
      <w:r w:rsidRPr="00F44EEB">
        <w:rPr>
          <w:rFonts w:ascii="Times New Roman" w:hAnsi="Times New Roman"/>
          <w:i/>
          <w:sz w:val="24"/>
          <w:szCs w:val="24"/>
        </w:rPr>
        <w:t xml:space="preserve">Indtil sådanne standarder og muligheder foreligger, stilles der i udbudsbekendtgørelsen krav om, at brugerne informeres om begrænsningerne i de stedbestemmelsesoplysninger, der afgives, jf. § 7, stk. 4 og bilag 1, punkt 18. I henhold til den foreliggende aftale mellem relevante udbydere og alarmmyndighederne afgives der i forbindelse med alarmopkald oplysning om anvendelsen eller typen af taletelefonitjeneste sammen med afgivelsen af stedbestemmelsesoplysningerne med henblik på at sikre alarmmyndighederne viden om usikkerheden forbundet med de stedbestemmelsesoplysninger, der er til rådighed (typisk abonnentadresse). </w:t>
      </w:r>
    </w:p>
    <w:p w:rsidR="00F44EEB" w:rsidRPr="00F44EEB" w:rsidRDefault="00F44EEB" w:rsidP="00F44EEB">
      <w:pPr>
        <w:ind w:left="1304"/>
        <w:rPr>
          <w:rFonts w:ascii="Times New Roman" w:hAnsi="Times New Roman"/>
          <w:i/>
          <w:sz w:val="24"/>
          <w:szCs w:val="24"/>
        </w:rPr>
      </w:pPr>
    </w:p>
    <w:p w:rsidR="00F44EEB" w:rsidRPr="00F44EEB" w:rsidRDefault="00F44EEB" w:rsidP="00F44EEB">
      <w:pPr>
        <w:rPr>
          <w:rFonts w:ascii="Times New Roman" w:hAnsi="Times New Roman"/>
          <w:b/>
          <w:sz w:val="24"/>
          <w:szCs w:val="24"/>
        </w:rPr>
      </w:pPr>
    </w:p>
    <w:p w:rsidR="00F44EEB" w:rsidRPr="00F44EEB" w:rsidRDefault="00F44EEB" w:rsidP="00F44EEB">
      <w:pPr>
        <w:rPr>
          <w:rFonts w:ascii="Times New Roman" w:hAnsi="Times New Roman"/>
          <w:b/>
          <w:sz w:val="24"/>
          <w:szCs w:val="24"/>
        </w:rPr>
      </w:pPr>
      <w:r w:rsidRPr="00F44EEB">
        <w:rPr>
          <w:rFonts w:ascii="Times New Roman" w:hAnsi="Times New Roman"/>
          <w:b/>
          <w:sz w:val="24"/>
          <w:szCs w:val="24"/>
        </w:rPr>
        <w:t>§ 10, stk. 2 – side 26</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TI </w:t>
      </w:r>
      <w:r w:rsidR="00D90D3E">
        <w:rPr>
          <w:rFonts w:ascii="Times New Roman" w:hAnsi="Times New Roman"/>
          <w:sz w:val="24"/>
          <w:szCs w:val="24"/>
        </w:rPr>
        <w:t xml:space="preserve">og DI ITEK </w:t>
      </w:r>
      <w:r w:rsidRPr="00F44EEB">
        <w:rPr>
          <w:rFonts w:ascii="Times New Roman" w:hAnsi="Times New Roman"/>
          <w:sz w:val="24"/>
          <w:szCs w:val="24"/>
        </w:rPr>
        <w:t>skal her bemærke, at en analyse på baggrund af slutbrugerens forbrugshistorik forudsætter, at slutbrugeren giver samtykke til, at det enkelte teleselskab kan gå ind og kigge på slutbrugerens tidligere forbrug. De enkelte operatører vil derfor som udgangspunkt alene kunne oplyse om deres gældende listepriser, hvorefter slutbrugeren må foretage sin egen vurdering af, hvorvidt det vil kunne betale sig at skifte abonnement.</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b/>
          <w:sz w:val="24"/>
          <w:szCs w:val="24"/>
        </w:rPr>
        <w:t>§ 11 – side 28-29 (varsling af mindre væsentlige ændringer)</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Det fremgår af udkastet, at varsling af mindre væsentlige ændringer kan ske enten ved annoncering i landdækkende dagblade eller ved offentliggørelse på udbyderens hjemmeside. TI </w:t>
      </w:r>
      <w:r w:rsidR="00D90D3E">
        <w:rPr>
          <w:rFonts w:ascii="Times New Roman" w:hAnsi="Times New Roman"/>
          <w:sz w:val="24"/>
          <w:szCs w:val="24"/>
        </w:rPr>
        <w:t xml:space="preserve">og DI ITEK </w:t>
      </w:r>
      <w:r w:rsidRPr="00F44EEB">
        <w:rPr>
          <w:rFonts w:ascii="Times New Roman" w:hAnsi="Times New Roman"/>
          <w:sz w:val="24"/>
          <w:szCs w:val="24"/>
        </w:rPr>
        <w:t>er meget enig i, at de nævnte varslingsformer kan benyttes ved varsling af mindre væsentlige ændringer. Det er TI</w:t>
      </w:r>
      <w:r w:rsidR="00D90D3E">
        <w:rPr>
          <w:rFonts w:ascii="Times New Roman" w:hAnsi="Times New Roman"/>
          <w:sz w:val="24"/>
          <w:szCs w:val="24"/>
        </w:rPr>
        <w:t xml:space="preserve"> og DI ITEK</w:t>
      </w:r>
      <w:r w:rsidRPr="00F44EEB">
        <w:rPr>
          <w:rFonts w:ascii="Times New Roman" w:hAnsi="Times New Roman"/>
          <w:sz w:val="24"/>
          <w:szCs w:val="24"/>
        </w:rPr>
        <w:t xml:space="preserve">’s opfattelse at varsling af mindre væsentlige ændringer via hjemmeside vil udgøre en langt mere tidssvarende varslingsform end varsling via avisannoncer. Mange kunder holder således ikke avis, mens mange kunder jævnligt besøger teleudbyderens hjemmeside, bl.a. for at benytte selskabets selvbetjeningsløsninger.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Dertil kommer at begge de nævnte varslingsformer også er nævnt i Forbrugerombudsmandens gebyrvejledning fra juli 2008 pkt. 5.1, hvor det fremgår, at varsling af ikke-væsentlige ændringer ved annoncering på en hjemmeside, i medierne eller i et nyhedsbrev efter omstændighederne vil være tilstrækkelig varsling.</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For så vidt angår Erhvervsstyrelsen henvisning til Forbrugerombudsmandens retningslinjer om god markedsføringsskik på teleområdet, vil TI </w:t>
      </w:r>
      <w:r w:rsidR="00D90D3E">
        <w:rPr>
          <w:rFonts w:ascii="Times New Roman" w:hAnsi="Times New Roman"/>
          <w:sz w:val="24"/>
          <w:szCs w:val="24"/>
        </w:rPr>
        <w:t xml:space="preserve">og DI ITEK </w:t>
      </w:r>
      <w:r w:rsidRPr="00F44EEB">
        <w:rPr>
          <w:rFonts w:ascii="Times New Roman" w:hAnsi="Times New Roman"/>
          <w:sz w:val="24"/>
          <w:szCs w:val="24"/>
        </w:rPr>
        <w:t>ved Forbrugerombudsmandens næstkommende opdatering af retningslinjerne drøfte en tilsvarende præcisering af mulighederne for varsling af mindre væsentlige ændringer via udbydernes hjemmesider.</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b/>
          <w:sz w:val="24"/>
          <w:szCs w:val="24"/>
        </w:rPr>
        <w:t>§ 18 – side 42 (Saldokontrol for mobile indholds- og betalingstjenester)</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Det fremgår nederst side 42, at 4 teleselskaber på frivillig basis har indgået aftale med Forbrugerombudsmanden om en obligatorisk saldokontrolordning for tillægstakserede mobile indholds- og betalingstjenester. Det bemærkes hertil, at de fire teleselskaber har valgt ikke at forny det nævnte tilsagn, da tilsagnet udløb 1. maj 2011. Dette fremgår også på Forbrugerombudsmandens hjemmeside, hvor det også er oplyst, at de fire teleselskaber dog indtil videre vil opretholde forbrugsbegrænsningen. Hvis omtalen af frivillig saldokontrol bibeholdes i vejledningen, bør det nævnte forbehold nævnes.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b/>
          <w:sz w:val="24"/>
          <w:szCs w:val="24"/>
        </w:rPr>
        <w:t>§ 18 – side 43 (Spærring for forbrug i forbindelse med saldokontrol)</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Det fremgår af bemærkningerne til § 18, stk. 2, at der til trods for spærring i forbindelse med saldokontrol fortsat skal kunne foretages opkald, der ikke debiteres for, som for eksempel opkald til 80-numre. TI </w:t>
      </w:r>
      <w:r w:rsidR="00D90D3E">
        <w:rPr>
          <w:rFonts w:ascii="Times New Roman" w:hAnsi="Times New Roman"/>
          <w:sz w:val="24"/>
          <w:szCs w:val="24"/>
        </w:rPr>
        <w:t xml:space="preserve">og DI ITEK </w:t>
      </w:r>
      <w:r w:rsidRPr="00F44EEB">
        <w:rPr>
          <w:rFonts w:ascii="Times New Roman" w:hAnsi="Times New Roman"/>
          <w:sz w:val="24"/>
          <w:szCs w:val="24"/>
        </w:rPr>
        <w:t xml:space="preserve">kan ikke </w:t>
      </w:r>
      <w:r w:rsidRPr="00F44EEB">
        <w:rPr>
          <w:rFonts w:ascii="Times New Roman" w:hAnsi="Times New Roman"/>
          <w:sz w:val="24"/>
          <w:szCs w:val="24"/>
        </w:rPr>
        <w:lastRenderedPageBreak/>
        <w:t xml:space="preserve">acceptere denne fortolkning, som de facto vil indebære ny regulering, der i givet fald vil nødvendiggøre it-udvikling hos teleudbyderne.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TI </w:t>
      </w:r>
      <w:r w:rsidR="00D90D3E">
        <w:rPr>
          <w:rFonts w:ascii="Times New Roman" w:hAnsi="Times New Roman"/>
          <w:sz w:val="24"/>
          <w:szCs w:val="24"/>
        </w:rPr>
        <w:t xml:space="preserve">og DI ITEK </w:t>
      </w:r>
      <w:r w:rsidRPr="00F44EEB">
        <w:rPr>
          <w:rFonts w:ascii="Times New Roman" w:hAnsi="Times New Roman"/>
          <w:sz w:val="24"/>
          <w:szCs w:val="24"/>
        </w:rPr>
        <w:t>kan ikke se, at der i hverken § 18, stk. 2 eller stk. 3 er hjemmel til at pålægge udbyderne at sørge for, at opkald til f.eks. 80-numre fortsat skal være muligt, når der er spærret for forbrug i forbindelse med saldokontrol. Der skal i den forbindelse henvises til definitionen på saldokontrol i § 2, stk. 1, nr. 11, hvor det fremgår, at der ved saldokontrol forstås en funktion, hvor den udbudte tjeneste spærres for yderligere forbrug, umiddelbart efter, at det er konstateret, at forbruget har overskredet et beløb, der på forhånd er aftalt mellem udbyderen og slutbrugeren.</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Det fremgår derimod meget klart at § 18, stk. 3, at der er et krav om, at der fortsat skal kunne ringes til 112, der er jf. § 3, stk. 1 nr. 1 er gratis. Det er derfor TI</w:t>
      </w:r>
      <w:r w:rsidR="00D90D3E">
        <w:rPr>
          <w:rFonts w:ascii="Times New Roman" w:hAnsi="Times New Roman"/>
          <w:sz w:val="24"/>
          <w:szCs w:val="24"/>
        </w:rPr>
        <w:t xml:space="preserve"> og DI ITEK</w:t>
      </w:r>
      <w:r w:rsidRPr="00F44EEB">
        <w:rPr>
          <w:rFonts w:ascii="Times New Roman" w:hAnsi="Times New Roman"/>
          <w:sz w:val="24"/>
          <w:szCs w:val="24"/>
        </w:rPr>
        <w:t xml:space="preserve">’s opfattelse, at der med § 18, stk. 3 er taget klar stilling til, hvilke numre, der skal kunne ringes til (nemlig 112) uanset, at der måtte være spærret for udgående opkald på baggrund af kundens anmodning om saldokontrol. TI </w:t>
      </w:r>
      <w:r w:rsidR="00D90D3E">
        <w:rPr>
          <w:rFonts w:ascii="Times New Roman" w:hAnsi="Times New Roman"/>
          <w:sz w:val="24"/>
          <w:szCs w:val="24"/>
        </w:rPr>
        <w:t xml:space="preserve">og DI ITEK </w:t>
      </w:r>
      <w:r w:rsidRPr="00F44EEB">
        <w:rPr>
          <w:rFonts w:ascii="Times New Roman" w:hAnsi="Times New Roman"/>
          <w:sz w:val="24"/>
          <w:szCs w:val="24"/>
        </w:rPr>
        <w:t>skal derfor opfordre til, at Erhvervsstyrelsen fjerner det afsnit, hvoraf det fremgår, at spærringen i saldokontrolordningen retter sig mod forbrugsafhængig debitering og at der fortsat skal kunne ringes til f.eks. 80-numre.</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b/>
          <w:sz w:val="24"/>
          <w:szCs w:val="24"/>
        </w:rPr>
        <w:t xml:space="preserve">§ 19 – side 46 </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Vejledingen til bestemmelserne i § 19 indledes med 5 afsnit, der omhandler emner omfattet af § 19, stk. 1 (kundens valg af specificeret regning) og § 19, stk. 3 (elektronisk regning). Det vil give et bedre overblik, hvis disse afsnit flyttes til omtalen af § 19, stk. 1 hhv. stk. 3.</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b/>
          <w:sz w:val="24"/>
          <w:szCs w:val="24"/>
        </w:rPr>
        <w:t>§ 19, stk. 4 – side 48 (opbevaring af faktureringsoplysninger iht. bogføringslovens regler)</w:t>
      </w: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Det fremgår af bemærkningerne til § 19, stk. 4, at bestemmelsen ikke indeholder ny retsdannelse, men blot en kodificering af gældende ret. Samtidig fremgår det imidlertid af tekstens 2. og 3. afsnit, at også specificerede regninger skal opbevares i 5 år.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 xml:space="preserve">TI </w:t>
      </w:r>
      <w:r w:rsidR="00D90D3E">
        <w:rPr>
          <w:rFonts w:ascii="Times New Roman" w:hAnsi="Times New Roman"/>
          <w:sz w:val="24"/>
          <w:szCs w:val="24"/>
        </w:rPr>
        <w:t xml:space="preserve">og DI ITEK </w:t>
      </w:r>
      <w:r w:rsidRPr="00F44EEB">
        <w:rPr>
          <w:rFonts w:ascii="Times New Roman" w:hAnsi="Times New Roman"/>
          <w:sz w:val="24"/>
          <w:szCs w:val="24"/>
        </w:rPr>
        <w:t xml:space="preserve">kan tilslutte sig, at det følger af gældende ret (bogføringslovens § 10), at faktureringsoplysninger i form af almindelige takstopdelte regninger skal opbevares i 5 år. Omvendt gælder bogføringslovens krav om opbevaring i 5 år ikke for så vidt angår specificerede regninger i form af opkaldslister, herunder ikke for de trafikdata, der ligger til grund for generering af opkaldslister og regninger. </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t>For mange teleudbydere opfyldes kravet om tilrådighedsstillelse af specificeret regning ved, at teleudbyderen udleverer en almindelig takstopdelt regning + en opkaldsliste. Det er ikke almindelig praksis, at sådanne specificerede regninger/opkaldslister opbevares i 5 år.</w:t>
      </w:r>
    </w:p>
    <w:p w:rsidR="00F44EEB" w:rsidRPr="00F44EEB" w:rsidRDefault="00F44EEB" w:rsidP="00F44EEB">
      <w:pPr>
        <w:rPr>
          <w:rFonts w:ascii="Times New Roman" w:hAnsi="Times New Roman"/>
          <w:sz w:val="24"/>
          <w:szCs w:val="24"/>
        </w:rPr>
      </w:pPr>
    </w:p>
    <w:p w:rsidR="00F44EEB" w:rsidRPr="00F44EEB" w:rsidRDefault="00F44EEB" w:rsidP="00F44EEB">
      <w:pPr>
        <w:rPr>
          <w:rFonts w:ascii="Times New Roman" w:hAnsi="Times New Roman"/>
          <w:sz w:val="24"/>
          <w:szCs w:val="24"/>
        </w:rPr>
      </w:pPr>
      <w:r w:rsidRPr="00F44EEB">
        <w:rPr>
          <w:rFonts w:ascii="Times New Roman" w:hAnsi="Times New Roman"/>
          <w:sz w:val="24"/>
          <w:szCs w:val="24"/>
        </w:rPr>
        <w:lastRenderedPageBreak/>
        <w:t xml:space="preserve">TI </w:t>
      </w:r>
      <w:r w:rsidR="00D90D3E">
        <w:rPr>
          <w:rFonts w:ascii="Times New Roman" w:hAnsi="Times New Roman"/>
          <w:sz w:val="24"/>
          <w:szCs w:val="24"/>
        </w:rPr>
        <w:t xml:space="preserve">og DI ITEK </w:t>
      </w:r>
      <w:r w:rsidRPr="00F44EEB">
        <w:rPr>
          <w:rFonts w:ascii="Times New Roman" w:hAnsi="Times New Roman"/>
          <w:sz w:val="24"/>
          <w:szCs w:val="24"/>
        </w:rPr>
        <w:t>beder derfor om, at teksten tilpasses, så omtalen af opbevaring af specificeret regning i 5 år udgår, idet der i modsat fald vil være tale om ny retsdannelse og regulering af logningskrav, der i givet fald vil nødvendiggøre it-udvikling hos de berørte teleudbydere.</w:t>
      </w:r>
    </w:p>
    <w:p w:rsidR="00F44EEB" w:rsidRPr="00F44EEB" w:rsidRDefault="00F44EEB" w:rsidP="00F44EEB">
      <w:pPr>
        <w:rPr>
          <w:rFonts w:ascii="Times New Roman" w:hAnsi="Times New Roman"/>
          <w:sz w:val="24"/>
          <w:szCs w:val="24"/>
        </w:rPr>
      </w:pPr>
    </w:p>
    <w:p w:rsidR="00F44EEB" w:rsidRDefault="00F44EEB" w:rsidP="00F44EEB">
      <w:pPr>
        <w:rPr>
          <w:rFonts w:ascii="Times New Roman" w:hAnsi="Times New Roman"/>
          <w:sz w:val="24"/>
          <w:szCs w:val="24"/>
        </w:rPr>
      </w:pPr>
      <w:r w:rsidRPr="00F44EEB">
        <w:rPr>
          <w:rFonts w:ascii="Times New Roman" w:hAnsi="Times New Roman"/>
          <w:sz w:val="24"/>
          <w:szCs w:val="24"/>
        </w:rPr>
        <w:t xml:space="preserve">TI </w:t>
      </w:r>
      <w:r w:rsidR="00D90D3E">
        <w:rPr>
          <w:rFonts w:ascii="Times New Roman" w:hAnsi="Times New Roman"/>
          <w:sz w:val="24"/>
          <w:szCs w:val="24"/>
        </w:rPr>
        <w:t xml:space="preserve">og DI ITEK </w:t>
      </w:r>
      <w:r w:rsidRPr="00F44EEB">
        <w:rPr>
          <w:rFonts w:ascii="Times New Roman" w:hAnsi="Times New Roman"/>
          <w:sz w:val="24"/>
          <w:szCs w:val="24"/>
        </w:rPr>
        <w:t>henviser i øvrigt til vedlagte korrespondance om emnet mellem TDC og IT- og Telestyrelsen fra sommeren 2011, som TI tidligere har modtaget kopi af.</w:t>
      </w:r>
    </w:p>
    <w:p w:rsidR="00F44EEB" w:rsidRDefault="00F44EEB" w:rsidP="00F44EEB">
      <w:pPr>
        <w:rPr>
          <w:rFonts w:ascii="Times New Roman" w:hAnsi="Times New Roman"/>
          <w:sz w:val="24"/>
          <w:szCs w:val="24"/>
        </w:rPr>
      </w:pPr>
    </w:p>
    <w:p w:rsidR="00F44EEB" w:rsidRDefault="00F44EEB" w:rsidP="00F44EEB">
      <w:pPr>
        <w:rPr>
          <w:rFonts w:ascii="Times New Roman" w:hAnsi="Times New Roman"/>
          <w:sz w:val="24"/>
          <w:szCs w:val="24"/>
        </w:rPr>
      </w:pPr>
    </w:p>
    <w:p w:rsidR="00F44EEB" w:rsidRDefault="00F44EEB" w:rsidP="00F44EEB">
      <w:pPr>
        <w:rPr>
          <w:rFonts w:ascii="Times New Roman" w:hAnsi="Times New Roman"/>
          <w:sz w:val="24"/>
          <w:szCs w:val="24"/>
        </w:rPr>
      </w:pPr>
      <w:r>
        <w:rPr>
          <w:rFonts w:ascii="Times New Roman" w:hAnsi="Times New Roman"/>
          <w:sz w:val="24"/>
          <w:szCs w:val="24"/>
        </w:rPr>
        <w:t>Med venlig hilsen</w:t>
      </w:r>
    </w:p>
    <w:p w:rsidR="00F44EEB" w:rsidRDefault="00F44EEB" w:rsidP="00F44EEB">
      <w:pPr>
        <w:rPr>
          <w:rFonts w:ascii="Times New Roman" w:hAnsi="Times New Roman"/>
          <w:sz w:val="24"/>
          <w:szCs w:val="24"/>
        </w:rPr>
      </w:pPr>
    </w:p>
    <w:p w:rsidR="00F44EEB" w:rsidRDefault="00F44EEB" w:rsidP="00F44EEB">
      <w:pPr>
        <w:rPr>
          <w:rFonts w:ascii="Times New Roman" w:hAnsi="Times New Roman"/>
          <w:sz w:val="24"/>
          <w:szCs w:val="24"/>
        </w:rPr>
      </w:pPr>
    </w:p>
    <w:p w:rsidR="00F44EEB" w:rsidRDefault="00F44EEB" w:rsidP="00F44EEB">
      <w:pPr>
        <w:rPr>
          <w:rFonts w:ascii="Times New Roman" w:hAnsi="Times New Roman"/>
          <w:sz w:val="24"/>
          <w:szCs w:val="24"/>
        </w:rPr>
      </w:pPr>
    </w:p>
    <w:p w:rsidR="00201D82" w:rsidRDefault="00F44EEB" w:rsidP="00201D82">
      <w:pPr>
        <w:rPr>
          <w:rFonts w:ascii="Times New Roman" w:hAnsi="Times New Roman"/>
          <w:sz w:val="24"/>
          <w:szCs w:val="24"/>
        </w:rPr>
      </w:pPr>
      <w:r>
        <w:rPr>
          <w:rFonts w:ascii="Times New Roman" w:hAnsi="Times New Roman"/>
          <w:sz w:val="24"/>
          <w:szCs w:val="24"/>
        </w:rPr>
        <w:t>Jakob Willer</w:t>
      </w:r>
      <w:r w:rsidR="00201D82" w:rsidRPr="00201D82">
        <w:rPr>
          <w:rFonts w:ascii="Times New Roman" w:hAnsi="Times New Roman"/>
          <w:sz w:val="24"/>
          <w:szCs w:val="24"/>
        </w:rPr>
        <w:t xml:space="preserve"> </w:t>
      </w:r>
      <w:r w:rsidR="00201D82">
        <w:rPr>
          <w:rFonts w:ascii="Times New Roman" w:hAnsi="Times New Roman"/>
          <w:sz w:val="24"/>
          <w:szCs w:val="24"/>
        </w:rPr>
        <w:t xml:space="preserve"> </w:t>
      </w:r>
      <w:r w:rsidR="00201D82">
        <w:rPr>
          <w:rFonts w:ascii="Times New Roman" w:hAnsi="Times New Roman"/>
          <w:sz w:val="24"/>
          <w:szCs w:val="24"/>
        </w:rPr>
        <w:tab/>
      </w:r>
      <w:r w:rsidR="00201D82">
        <w:rPr>
          <w:rFonts w:ascii="Times New Roman" w:hAnsi="Times New Roman"/>
          <w:sz w:val="24"/>
          <w:szCs w:val="24"/>
        </w:rPr>
        <w:tab/>
        <w:t>Tom Togsverd</w:t>
      </w:r>
    </w:p>
    <w:p w:rsidR="00F44EEB" w:rsidRDefault="00F44EEB" w:rsidP="00F44EEB">
      <w:pPr>
        <w:rPr>
          <w:rFonts w:ascii="Times New Roman" w:hAnsi="Times New Roman"/>
          <w:sz w:val="24"/>
          <w:szCs w:val="24"/>
        </w:rPr>
      </w:pPr>
      <w:r>
        <w:rPr>
          <w:rFonts w:ascii="Times New Roman" w:hAnsi="Times New Roman"/>
          <w:sz w:val="24"/>
          <w:szCs w:val="24"/>
        </w:rPr>
        <w:t>Direktør</w:t>
      </w:r>
      <w:r w:rsidR="00201D82">
        <w:rPr>
          <w:rFonts w:ascii="Times New Roman" w:hAnsi="Times New Roman"/>
          <w:sz w:val="24"/>
          <w:szCs w:val="24"/>
        </w:rPr>
        <w:tab/>
      </w:r>
      <w:r w:rsidR="00201D82">
        <w:rPr>
          <w:rFonts w:ascii="Times New Roman" w:hAnsi="Times New Roman"/>
          <w:sz w:val="24"/>
          <w:szCs w:val="24"/>
        </w:rPr>
        <w:tab/>
        <w:t>Direktør</w:t>
      </w:r>
    </w:p>
    <w:p w:rsidR="002D2F91" w:rsidRDefault="002D2F91" w:rsidP="00F44EEB">
      <w:pPr>
        <w:rPr>
          <w:rFonts w:ascii="Times New Roman" w:hAnsi="Times New Roman"/>
          <w:sz w:val="24"/>
          <w:szCs w:val="24"/>
        </w:rPr>
      </w:pPr>
    </w:p>
    <w:p w:rsidR="002D2F91" w:rsidRDefault="002D2F91" w:rsidP="00F44EEB">
      <w:pPr>
        <w:rPr>
          <w:rFonts w:ascii="Times New Roman" w:hAnsi="Times New Roman"/>
          <w:sz w:val="24"/>
          <w:szCs w:val="24"/>
        </w:rPr>
      </w:pPr>
    </w:p>
    <w:p w:rsidR="002D2F91" w:rsidRDefault="002D2F91" w:rsidP="00F44EEB">
      <w:pPr>
        <w:rPr>
          <w:rFonts w:ascii="Times New Roman" w:hAnsi="Times New Roman"/>
          <w:sz w:val="24"/>
          <w:szCs w:val="24"/>
        </w:rPr>
      </w:pPr>
    </w:p>
    <w:p w:rsidR="00CD0CFF" w:rsidRPr="00F44EEB" w:rsidRDefault="00CD0CFF" w:rsidP="00CD0CFF">
      <w:pPr>
        <w:rPr>
          <w:rFonts w:ascii="Times New Roman" w:hAnsi="Times New Roman"/>
          <w:sz w:val="24"/>
          <w:szCs w:val="24"/>
        </w:rPr>
      </w:pPr>
    </w:p>
    <w:p w:rsidR="0096726F" w:rsidRPr="00F44EEB" w:rsidRDefault="0096726F" w:rsidP="00CD0CFF">
      <w:pPr>
        <w:rPr>
          <w:rFonts w:ascii="Times New Roman" w:hAnsi="Times New Roman"/>
          <w:sz w:val="24"/>
          <w:szCs w:val="24"/>
        </w:rPr>
      </w:pPr>
    </w:p>
    <w:p w:rsidR="0093589B" w:rsidRPr="00F44EEB" w:rsidRDefault="0093589B" w:rsidP="00CD0CFF">
      <w:pPr>
        <w:ind w:left="-142"/>
        <w:rPr>
          <w:rFonts w:ascii="Times New Roman" w:hAnsi="Times New Roman"/>
          <w:sz w:val="24"/>
          <w:szCs w:val="24"/>
        </w:rPr>
      </w:pPr>
    </w:p>
    <w:p w:rsidR="00FC00BA" w:rsidRPr="00F44EEB" w:rsidRDefault="00FC00BA" w:rsidP="002B2468">
      <w:pPr>
        <w:ind w:left="-142"/>
        <w:rPr>
          <w:rFonts w:ascii="Times New Roman" w:hAnsi="Times New Roman"/>
          <w:sz w:val="24"/>
          <w:szCs w:val="24"/>
        </w:rPr>
      </w:pPr>
    </w:p>
    <w:p w:rsidR="00FC00BA" w:rsidRPr="00F44EEB" w:rsidRDefault="00FC00BA">
      <w:pPr>
        <w:rPr>
          <w:rFonts w:ascii="Times New Roman" w:hAnsi="Times New Roman"/>
          <w:sz w:val="24"/>
          <w:szCs w:val="24"/>
        </w:rPr>
      </w:pPr>
    </w:p>
    <w:sectPr w:rsidR="00FC00BA" w:rsidRPr="00F44EEB" w:rsidSect="00FF23EA">
      <w:headerReference w:type="default" r:id="rId9"/>
      <w:footerReference w:type="even" r:id="rId10"/>
      <w:footerReference w:type="default" r:id="rId11"/>
      <w:headerReference w:type="first" r:id="rId12"/>
      <w:footerReference w:type="first" r:id="rId13"/>
      <w:pgSz w:w="11906" w:h="16838" w:code="9"/>
      <w:pgMar w:top="2268" w:right="2608" w:bottom="1418" w:left="1474" w:header="70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CD" w:rsidRDefault="00B421CD">
      <w:r>
        <w:separator/>
      </w:r>
    </w:p>
  </w:endnote>
  <w:endnote w:type="continuationSeparator" w:id="0">
    <w:p w:rsidR="00B421CD" w:rsidRDefault="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9B" w:rsidRDefault="00FF23EA">
    <w:pPr>
      <w:pStyle w:val="Sidefod"/>
      <w:framePr w:wrap="around" w:vAnchor="text" w:hAnchor="margin" w:xAlign="right" w:y="1"/>
      <w:rPr>
        <w:rStyle w:val="Sidetal"/>
      </w:rPr>
    </w:pPr>
    <w:r>
      <w:rPr>
        <w:rStyle w:val="Sidetal"/>
      </w:rPr>
      <w:fldChar w:fldCharType="begin"/>
    </w:r>
    <w:r w:rsidR="0093589B">
      <w:rPr>
        <w:rStyle w:val="Sidetal"/>
      </w:rPr>
      <w:instrText xml:space="preserve">PAGE  </w:instrText>
    </w:r>
    <w:r>
      <w:rPr>
        <w:rStyle w:val="Sidetal"/>
      </w:rPr>
      <w:fldChar w:fldCharType="separate"/>
    </w:r>
    <w:r w:rsidR="0093589B">
      <w:rPr>
        <w:rStyle w:val="Sidetal"/>
        <w:noProof/>
      </w:rPr>
      <w:t>1</w:t>
    </w:r>
    <w:r>
      <w:rPr>
        <w:rStyle w:val="Sidetal"/>
      </w:rPr>
      <w:fldChar w:fldCharType="end"/>
    </w:r>
  </w:p>
  <w:p w:rsidR="0093589B" w:rsidRDefault="0093589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9B" w:rsidRDefault="0093589B">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9B" w:rsidRDefault="0093589B">
    <w:pPr>
      <w:pStyle w:val="Sidefod"/>
    </w:pPr>
  </w:p>
  <w:p w:rsidR="0093589B" w:rsidRDefault="0093589B">
    <w:pPr>
      <w:pStyle w:val="Sidefod"/>
    </w:pPr>
  </w:p>
  <w:p w:rsidR="0093589B" w:rsidRDefault="0093589B">
    <w:pPr>
      <w:pStyle w:val="Sidefod"/>
    </w:pPr>
  </w:p>
  <w:p w:rsidR="0093589B" w:rsidRDefault="0093589B">
    <w:pPr>
      <w:pStyle w:val="Sidefod"/>
    </w:pPr>
  </w:p>
  <w:p w:rsidR="0093589B" w:rsidRDefault="009358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CD" w:rsidRDefault="00B421CD">
      <w:r>
        <w:separator/>
      </w:r>
    </w:p>
  </w:footnote>
  <w:footnote w:type="continuationSeparator" w:id="0">
    <w:p w:rsidR="00B421CD" w:rsidRDefault="00B42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9B" w:rsidRDefault="00FF23EA">
    <w:pPr>
      <w:pStyle w:val="Sidenr2ff"/>
      <w:framePr w:wrap="around"/>
    </w:pPr>
    <w:r>
      <w:rPr>
        <w:rStyle w:val="Sidetal"/>
      </w:rPr>
      <w:fldChar w:fldCharType="begin"/>
    </w:r>
    <w:r w:rsidR="0093589B">
      <w:rPr>
        <w:rStyle w:val="Sidetal"/>
      </w:rPr>
      <w:instrText xml:space="preserve"> PAGE </w:instrText>
    </w:r>
    <w:r>
      <w:rPr>
        <w:rStyle w:val="Sidetal"/>
      </w:rPr>
      <w:fldChar w:fldCharType="separate"/>
    </w:r>
    <w:r w:rsidR="00D01AE0">
      <w:rPr>
        <w:rStyle w:val="Sidetal"/>
        <w:noProof/>
      </w:rPr>
      <w:t>6</w:t>
    </w:r>
    <w:r>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4"/>
      <w:gridCol w:w="1886"/>
    </w:tblGrid>
    <w:tr w:rsidR="0093589B" w:rsidTr="002D2F91">
      <w:trPr>
        <w:trHeight w:val="1071"/>
      </w:trPr>
      <w:tc>
        <w:tcPr>
          <w:tcW w:w="6004" w:type="dxa"/>
          <w:tcBorders>
            <w:top w:val="nil"/>
            <w:left w:val="nil"/>
            <w:bottom w:val="nil"/>
            <w:right w:val="nil"/>
          </w:tcBorders>
        </w:tcPr>
        <w:p w:rsidR="0093589B" w:rsidRDefault="00D01AE0" w:rsidP="002D2F91">
          <w:pPr>
            <w:pStyle w:val="Overskrift1"/>
            <w:tabs>
              <w:tab w:val="left" w:pos="7371"/>
              <w:tab w:val="right" w:pos="9356"/>
            </w:tabs>
            <w:ind w:right="-2481"/>
          </w:pPr>
          <w:r>
            <w:rPr>
              <w:noProof/>
            </w:rPr>
            <w:drawing>
              <wp:inline distT="0" distB="0" distL="0" distR="0">
                <wp:extent cx="2200275" cy="401955"/>
                <wp:effectExtent l="0" t="0" r="9525" b="0"/>
                <wp:docPr id="1" name="Billede 1" descr="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1955"/>
                        </a:xfrm>
                        <a:prstGeom prst="rect">
                          <a:avLst/>
                        </a:prstGeom>
                        <a:noFill/>
                        <a:ln>
                          <a:noFill/>
                        </a:ln>
                      </pic:spPr>
                    </pic:pic>
                  </a:graphicData>
                </a:graphic>
              </wp:inline>
            </w:drawing>
          </w:r>
          <w:r>
            <w:rPr>
              <w:noProof/>
            </w:rPr>
            <w:drawing>
              <wp:inline distT="0" distB="0" distL="0" distR="0">
                <wp:extent cx="1235710" cy="572770"/>
                <wp:effectExtent l="0" t="0" r="2540" b="0"/>
                <wp:docPr id="2" name="Billede 2" descr="logo_I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T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710" cy="572770"/>
                        </a:xfrm>
                        <a:prstGeom prst="rect">
                          <a:avLst/>
                        </a:prstGeom>
                        <a:noFill/>
                        <a:ln>
                          <a:noFill/>
                        </a:ln>
                      </pic:spPr>
                    </pic:pic>
                  </a:graphicData>
                </a:graphic>
              </wp:inline>
            </w:drawing>
          </w:r>
        </w:p>
      </w:tc>
      <w:tc>
        <w:tcPr>
          <w:tcW w:w="1886" w:type="dxa"/>
          <w:tcBorders>
            <w:top w:val="nil"/>
            <w:left w:val="nil"/>
            <w:bottom w:val="nil"/>
            <w:right w:val="nil"/>
          </w:tcBorders>
        </w:tcPr>
        <w:p w:rsidR="0093589B" w:rsidRPr="00440DA0" w:rsidRDefault="0093589B" w:rsidP="00074A95">
          <w:pPr>
            <w:pStyle w:val="Overskrift1"/>
            <w:tabs>
              <w:tab w:val="left" w:pos="7371"/>
              <w:tab w:val="right" w:pos="9356"/>
            </w:tabs>
            <w:rPr>
              <w:color w:val="0033CC"/>
              <w:sz w:val="32"/>
              <w:szCs w:val="144"/>
            </w:rPr>
          </w:pPr>
        </w:p>
      </w:tc>
    </w:tr>
    <w:tr w:rsidR="002D2F91" w:rsidTr="002D2F91">
      <w:trPr>
        <w:trHeight w:val="1071"/>
      </w:trPr>
      <w:tc>
        <w:tcPr>
          <w:tcW w:w="6004" w:type="dxa"/>
          <w:tcBorders>
            <w:top w:val="nil"/>
            <w:left w:val="nil"/>
            <w:bottom w:val="nil"/>
            <w:right w:val="nil"/>
          </w:tcBorders>
        </w:tcPr>
        <w:p w:rsidR="002D2F91" w:rsidRDefault="002D2F91" w:rsidP="002D2F91">
          <w:pPr>
            <w:pStyle w:val="Overskrift1"/>
            <w:tabs>
              <w:tab w:val="left" w:pos="7371"/>
              <w:tab w:val="right" w:pos="9356"/>
            </w:tabs>
            <w:ind w:right="-2481"/>
          </w:pPr>
        </w:p>
      </w:tc>
      <w:tc>
        <w:tcPr>
          <w:tcW w:w="1886" w:type="dxa"/>
          <w:tcBorders>
            <w:top w:val="nil"/>
            <w:left w:val="nil"/>
            <w:bottom w:val="nil"/>
            <w:right w:val="nil"/>
          </w:tcBorders>
        </w:tcPr>
        <w:p w:rsidR="002D2F91" w:rsidRPr="00440DA0" w:rsidRDefault="002D2F91" w:rsidP="00074A95">
          <w:pPr>
            <w:pStyle w:val="Overskrift1"/>
            <w:tabs>
              <w:tab w:val="left" w:pos="7371"/>
              <w:tab w:val="right" w:pos="9356"/>
            </w:tabs>
            <w:rPr>
              <w:color w:val="0033CC"/>
              <w:sz w:val="32"/>
              <w:szCs w:val="144"/>
            </w:rPr>
          </w:pPr>
        </w:p>
      </w:tc>
    </w:tr>
  </w:tbl>
  <w:p w:rsidR="0093589B" w:rsidRDefault="0093589B">
    <w:pPr>
      <w:pStyle w:val="Sidehoved"/>
    </w:pPr>
  </w:p>
  <w:p w:rsidR="002D2F91" w:rsidRDefault="002D2F91">
    <w:pPr>
      <w:pStyle w:val="Sidehoved"/>
    </w:pPr>
  </w:p>
  <w:p w:rsidR="002D2F91" w:rsidRDefault="002D2F91">
    <w:pPr>
      <w:pStyle w:val="Sidehoved"/>
    </w:pPr>
  </w:p>
  <w:p w:rsidR="002D2F91" w:rsidRDefault="002D2F91">
    <w:pPr>
      <w:pStyle w:val="Sidehoved"/>
    </w:pPr>
  </w:p>
  <w:p w:rsidR="002D2F91" w:rsidRDefault="002D2F91">
    <w:pPr>
      <w:pStyle w:val="Sidehoved"/>
    </w:pPr>
  </w:p>
  <w:p w:rsidR="002D2F91" w:rsidRDefault="002D2F91">
    <w:pPr>
      <w:pStyle w:val="Sidehoved"/>
    </w:pPr>
  </w:p>
  <w:p w:rsidR="002D2F91" w:rsidRDefault="002D2F91">
    <w:pPr>
      <w:pStyle w:val="Sidehoved"/>
    </w:pPr>
  </w:p>
  <w:p w:rsidR="002D2F91" w:rsidRDefault="002D2F91">
    <w:pPr>
      <w:pStyle w:val="Sidehoved"/>
    </w:pPr>
  </w:p>
  <w:p w:rsidR="002D2F91" w:rsidRDefault="002D2F9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2C"/>
    <w:rsid w:val="00074A95"/>
    <w:rsid w:val="00085802"/>
    <w:rsid w:val="00086260"/>
    <w:rsid w:val="00086680"/>
    <w:rsid w:val="000F1D57"/>
    <w:rsid w:val="00113947"/>
    <w:rsid w:val="0013362B"/>
    <w:rsid w:val="001423F4"/>
    <w:rsid w:val="001714E4"/>
    <w:rsid w:val="001F3DA0"/>
    <w:rsid w:val="00201D82"/>
    <w:rsid w:val="002B2468"/>
    <w:rsid w:val="002D2F91"/>
    <w:rsid w:val="003B6AE3"/>
    <w:rsid w:val="003C1492"/>
    <w:rsid w:val="003C7C25"/>
    <w:rsid w:val="003D0DA8"/>
    <w:rsid w:val="003D48DC"/>
    <w:rsid w:val="004355E8"/>
    <w:rsid w:val="00440DA0"/>
    <w:rsid w:val="004B3B5F"/>
    <w:rsid w:val="005260CC"/>
    <w:rsid w:val="005A79E4"/>
    <w:rsid w:val="00763D40"/>
    <w:rsid w:val="00826CD4"/>
    <w:rsid w:val="008A4B79"/>
    <w:rsid w:val="008B15D2"/>
    <w:rsid w:val="008C63BF"/>
    <w:rsid w:val="0093589B"/>
    <w:rsid w:val="0096726F"/>
    <w:rsid w:val="009F706E"/>
    <w:rsid w:val="00AD373B"/>
    <w:rsid w:val="00B04D5C"/>
    <w:rsid w:val="00B421CD"/>
    <w:rsid w:val="00BD792E"/>
    <w:rsid w:val="00BE6D8B"/>
    <w:rsid w:val="00C27611"/>
    <w:rsid w:val="00C55D21"/>
    <w:rsid w:val="00C64D4F"/>
    <w:rsid w:val="00C913B7"/>
    <w:rsid w:val="00CD0CFF"/>
    <w:rsid w:val="00D01AE0"/>
    <w:rsid w:val="00D56D76"/>
    <w:rsid w:val="00D90D3E"/>
    <w:rsid w:val="00D92291"/>
    <w:rsid w:val="00E23610"/>
    <w:rsid w:val="00E67D26"/>
    <w:rsid w:val="00F37A99"/>
    <w:rsid w:val="00F41AAA"/>
    <w:rsid w:val="00F43E42"/>
    <w:rsid w:val="00F44EEB"/>
    <w:rsid w:val="00F86EB9"/>
    <w:rsid w:val="00FA2A2C"/>
    <w:rsid w:val="00FC00BA"/>
    <w:rsid w:val="00FF23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3EA"/>
    <w:rPr>
      <w:rFonts w:ascii="NewCenturySchlbk" w:hAnsi="NewCenturySchlbk"/>
      <w:sz w:val="23"/>
    </w:rPr>
  </w:style>
  <w:style w:type="paragraph" w:styleId="Overskrift1">
    <w:name w:val="heading 1"/>
    <w:basedOn w:val="Normal"/>
    <w:next w:val="Normal"/>
    <w:qFormat/>
    <w:rsid w:val="00FF23EA"/>
    <w:pPr>
      <w:keepNext/>
      <w:outlineLvl w:val="0"/>
    </w:pPr>
    <w:rPr>
      <w:rFonts w:ascii="Arial" w:hAnsi="Arial"/>
      <w:b/>
      <w:kern w:val="28"/>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F23EA"/>
    <w:pPr>
      <w:tabs>
        <w:tab w:val="center" w:pos="4153"/>
        <w:tab w:val="right" w:pos="8306"/>
      </w:tabs>
    </w:pPr>
  </w:style>
  <w:style w:type="character" w:styleId="Sidetal">
    <w:name w:val="page number"/>
    <w:basedOn w:val="Standardskrifttypeiafsnit"/>
    <w:rsid w:val="00FF23EA"/>
  </w:style>
  <w:style w:type="paragraph" w:styleId="Sidehoved">
    <w:name w:val="header"/>
    <w:basedOn w:val="Normal"/>
    <w:rsid w:val="00FF23EA"/>
    <w:pPr>
      <w:tabs>
        <w:tab w:val="center" w:pos="4819"/>
        <w:tab w:val="right" w:pos="9638"/>
      </w:tabs>
    </w:pPr>
  </w:style>
  <w:style w:type="paragraph" w:styleId="Dato">
    <w:name w:val="Date"/>
    <w:basedOn w:val="Normal"/>
    <w:rsid w:val="00FF23EA"/>
    <w:pPr>
      <w:framePr w:hSpace="142" w:vSpace="142" w:wrap="around" w:vAnchor="page" w:hAnchor="page" w:x="9300" w:y="2836"/>
    </w:pPr>
  </w:style>
  <w:style w:type="paragraph" w:customStyle="1" w:styleId="Navn">
    <w:name w:val="Navn"/>
    <w:basedOn w:val="Normal"/>
    <w:rsid w:val="00FF23EA"/>
    <w:pPr>
      <w:framePr w:w="4536" w:h="3402" w:wrap="notBeside" w:vAnchor="page" w:hAnchor="margin" w:y="2269"/>
    </w:pPr>
  </w:style>
  <w:style w:type="character" w:styleId="Hyperlink">
    <w:name w:val="Hyperlink"/>
    <w:rsid w:val="00C55D21"/>
    <w:rPr>
      <w:color w:val="0000FF"/>
      <w:u w:val="single"/>
    </w:rPr>
  </w:style>
  <w:style w:type="paragraph" w:customStyle="1" w:styleId="Sidenr2ff">
    <w:name w:val="Sidenr 2ff"/>
    <w:basedOn w:val="Sidehoved"/>
    <w:rsid w:val="00FF23EA"/>
    <w:pPr>
      <w:framePr w:hSpace="142" w:vSpace="142" w:wrap="around" w:vAnchor="page" w:hAnchor="page" w:x="10491" w:y="1419"/>
    </w:pPr>
  </w:style>
  <w:style w:type="paragraph" w:styleId="Markeringsbobletekst">
    <w:name w:val="Balloon Text"/>
    <w:basedOn w:val="Normal"/>
    <w:link w:val="MarkeringsbobletekstTegn"/>
    <w:rsid w:val="00C55D21"/>
    <w:rPr>
      <w:rFonts w:ascii="Tahoma" w:hAnsi="Tahoma" w:cs="Tahoma"/>
      <w:sz w:val="16"/>
      <w:szCs w:val="16"/>
    </w:rPr>
  </w:style>
  <w:style w:type="character" w:customStyle="1" w:styleId="MarkeringsbobletekstTegn">
    <w:name w:val="Markeringsbobletekst Tegn"/>
    <w:link w:val="Markeringsbobletekst"/>
    <w:rsid w:val="00C55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3EA"/>
    <w:rPr>
      <w:rFonts w:ascii="NewCenturySchlbk" w:hAnsi="NewCenturySchlbk"/>
      <w:sz w:val="23"/>
    </w:rPr>
  </w:style>
  <w:style w:type="paragraph" w:styleId="Overskrift1">
    <w:name w:val="heading 1"/>
    <w:basedOn w:val="Normal"/>
    <w:next w:val="Normal"/>
    <w:qFormat/>
    <w:rsid w:val="00FF23EA"/>
    <w:pPr>
      <w:keepNext/>
      <w:outlineLvl w:val="0"/>
    </w:pPr>
    <w:rPr>
      <w:rFonts w:ascii="Arial" w:hAnsi="Arial"/>
      <w:b/>
      <w:kern w:val="28"/>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F23EA"/>
    <w:pPr>
      <w:tabs>
        <w:tab w:val="center" w:pos="4153"/>
        <w:tab w:val="right" w:pos="8306"/>
      </w:tabs>
    </w:pPr>
  </w:style>
  <w:style w:type="character" w:styleId="Sidetal">
    <w:name w:val="page number"/>
    <w:basedOn w:val="Standardskrifttypeiafsnit"/>
    <w:rsid w:val="00FF23EA"/>
  </w:style>
  <w:style w:type="paragraph" w:styleId="Sidehoved">
    <w:name w:val="header"/>
    <w:basedOn w:val="Normal"/>
    <w:rsid w:val="00FF23EA"/>
    <w:pPr>
      <w:tabs>
        <w:tab w:val="center" w:pos="4819"/>
        <w:tab w:val="right" w:pos="9638"/>
      </w:tabs>
    </w:pPr>
  </w:style>
  <w:style w:type="paragraph" w:styleId="Dato">
    <w:name w:val="Date"/>
    <w:basedOn w:val="Normal"/>
    <w:rsid w:val="00FF23EA"/>
    <w:pPr>
      <w:framePr w:hSpace="142" w:vSpace="142" w:wrap="around" w:vAnchor="page" w:hAnchor="page" w:x="9300" w:y="2836"/>
    </w:pPr>
  </w:style>
  <w:style w:type="paragraph" w:customStyle="1" w:styleId="Navn">
    <w:name w:val="Navn"/>
    <w:basedOn w:val="Normal"/>
    <w:rsid w:val="00FF23EA"/>
    <w:pPr>
      <w:framePr w:w="4536" w:h="3402" w:wrap="notBeside" w:vAnchor="page" w:hAnchor="margin" w:y="2269"/>
    </w:pPr>
  </w:style>
  <w:style w:type="character" w:styleId="Hyperlink">
    <w:name w:val="Hyperlink"/>
    <w:rsid w:val="00C55D21"/>
    <w:rPr>
      <w:color w:val="0000FF"/>
      <w:u w:val="single"/>
    </w:rPr>
  </w:style>
  <w:style w:type="paragraph" w:customStyle="1" w:styleId="Sidenr2ff">
    <w:name w:val="Sidenr 2ff"/>
    <w:basedOn w:val="Sidehoved"/>
    <w:rsid w:val="00FF23EA"/>
    <w:pPr>
      <w:framePr w:hSpace="142" w:vSpace="142" w:wrap="around" w:vAnchor="page" w:hAnchor="page" w:x="10491" w:y="1419"/>
    </w:pPr>
  </w:style>
  <w:style w:type="paragraph" w:styleId="Markeringsbobletekst">
    <w:name w:val="Balloon Text"/>
    <w:basedOn w:val="Normal"/>
    <w:link w:val="MarkeringsbobletekstTegn"/>
    <w:rsid w:val="00C55D21"/>
    <w:rPr>
      <w:rFonts w:ascii="Tahoma" w:hAnsi="Tahoma" w:cs="Tahoma"/>
      <w:sz w:val="16"/>
      <w:szCs w:val="16"/>
    </w:rPr>
  </w:style>
  <w:style w:type="character" w:customStyle="1" w:styleId="MarkeringsbobletekstTegn">
    <w:name w:val="Markeringsbobletekst Tegn"/>
    <w:link w:val="Markeringsbobletekst"/>
    <w:rsid w:val="00C5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tbk@erst.d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TI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F6D2B-9175-4C5C-8171-A3E7EA57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TIBREV</Template>
  <TotalTime>1</TotalTime>
  <Pages>6</Pages>
  <Words>1822</Words>
  <Characters>11116</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14</vt:lpstr>
      <vt:lpstr>14</vt:lpstr>
    </vt:vector>
  </TitlesOfParts>
  <Company>Dansk Industri</Company>
  <LinksUpToDate>false</LinksUpToDate>
  <CharactersWithSpaces>12913</CharactersWithSpaces>
  <SharedDoc>false</SharedDoc>
  <HLinks>
    <vt:vector size="6" baseType="variant">
      <vt:variant>
        <vt:i4>2949137</vt:i4>
      </vt:variant>
      <vt:variant>
        <vt:i4>0</vt:i4>
      </vt:variant>
      <vt:variant>
        <vt:i4>0</vt:i4>
      </vt:variant>
      <vt:variant>
        <vt:i4>5</vt:i4>
      </vt:variant>
      <vt:variant>
        <vt:lpwstr>mailto:Posttbk@erst.dk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Sekretær</dc:creator>
  <cp:lastModifiedBy>Telekommunikationsindustrien I Danmark</cp:lastModifiedBy>
  <cp:revision>2</cp:revision>
  <cp:lastPrinted>2012-06-18T07:29:00Z</cp:lastPrinted>
  <dcterms:created xsi:type="dcterms:W3CDTF">2012-06-18T10:01:00Z</dcterms:created>
  <dcterms:modified xsi:type="dcterms:W3CDTF">2012-06-18T10:01:00Z</dcterms:modified>
</cp:coreProperties>
</file>